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91500.09.12.05.007</w:t>
      </w:r>
    </w:p>
    <w:p w:rsidR="00580FF6" w:rsidRPr="00580FF6" w:rsidRDefault="00580FF6" w:rsidP="00580FF6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№ 5</w:t>
      </w:r>
    </w:p>
    <w:p w:rsidR="00580FF6" w:rsidRPr="00580FF6" w:rsidRDefault="00580FF6" w:rsidP="00580FF6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приказу Минздрава РТ</w:t>
      </w:r>
    </w:p>
    <w:p w:rsidR="00580FF6" w:rsidRPr="00580FF6" w:rsidRDefault="00580FF6" w:rsidP="00580FF6">
      <w:pPr>
        <w:spacing w:after="0" w:line="240" w:lineRule="auto"/>
        <w:ind w:left="720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1557 от 26.07.2016 г. </w:t>
      </w: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ПРОСТОЙ МЕДИЦИНСКОЙ УСЛУГИ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12.05.007 «Определение подгрупп и других групп крови меньшего значения 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  <w:proofErr w:type="gramStart"/>
      <w:r w:rsidRPr="00580FF6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b/>
          <w:sz w:val="28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Казань, 2016 г.</w:t>
      </w:r>
    </w:p>
    <w:p w:rsidR="00580FF6" w:rsidRPr="00580FF6" w:rsidRDefault="00580FF6" w:rsidP="00580FF6">
      <w:pPr>
        <w:keepNext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Сведения о разработчиках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В разработке «Технологии выполнения простой медицинской услуги 12.05.007 «Определение подгрупп и других групп крови меньшего значения 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участвовали специалисты Министерства здравоохранения Республики Татарстан и Государственного автономного учреждения здравоохранения «Республиканский центр крови Министерства здравоохранения Республики Татарстан» (см. таблицу 1).</w:t>
      </w:r>
    </w:p>
    <w:p w:rsidR="00580FF6" w:rsidRPr="00580FF6" w:rsidRDefault="00580FF6" w:rsidP="00580FF6">
      <w:pPr>
        <w:spacing w:after="0" w:line="240" w:lineRule="auto"/>
        <w:ind w:right="-1" w:hanging="142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Таблица 1</w:t>
      </w: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Сведения о разработчиках «Технологии выполнения простой медицинской услуги 12.05.007 «Определение подгрупп и других групп крови меньшего значения 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</w:p>
    <w:tbl>
      <w:tblPr>
        <w:tblW w:w="10238" w:type="dxa"/>
        <w:jc w:val="center"/>
        <w:tblInd w:w="-3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4116"/>
        <w:gridCol w:w="2161"/>
        <w:gridCol w:w="1981"/>
      </w:tblGrid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60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ФИО</w:t>
            </w:r>
          </w:p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разработчиков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Место работы, занимаемая, должность, степень, звание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Адрес места работы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Рабочий телефон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60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Фатихов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580FF6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 xml:space="preserve">Ильдар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color w:val="4A4A4A"/>
                <w:sz w:val="24"/>
                <w:szCs w:val="24"/>
                <w:lang w:eastAsia="ru-RU"/>
              </w:rPr>
              <w:t>Разинович</w:t>
            </w:r>
            <w:proofErr w:type="spellEnd"/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Заместитель министра здравоохранения РТ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4200111, г. Казань, ул. Островского, д.11/6    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Лысенко Галина Викторовна  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управления контроля стандартов и качества медицинской деятельности министра здравоохранения РТ, к.м.н.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4200111, г. Казань, ул. Островского, д.11/6    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(843) 231-79-73 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Бурыкин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Игорь Михайлович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 отдела внедрения и мониторинга стандартов министра здравоохранения РТ, к.м.н.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4200111, г. Казань, ул. Островского, д.11/6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(843) 231-79-74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Тураев Рамиль Габдельхакович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Главный врач ГАУЗ «РЦК МЗ РТ», к.м.н., ассистент кафедры «Анестезиологии-реаниматологии и трансфузиологии» КГМА Минздрава России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проспект Победы д.85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(843) 237-69-00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Сибгатуллина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Лилия Нагимзяновна 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главного врача по медицинской части ГАУЗ «РЦК МЗ РТ».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проспект Победы д.85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(843)237-54-59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720"/>
          <w:jc w:val="center"/>
        </w:trPr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Бельская Елена Евгеньевна</w:t>
            </w:r>
          </w:p>
        </w:tc>
        <w:tc>
          <w:tcPr>
            <w:tcW w:w="41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Заведующая клинико-диагностической лабораторией ГАУЗ «РЦК МЗ РТ», ассистент кафедры «Клиническая лабораторная диагностика» КГМА Минздрава России</w:t>
            </w:r>
          </w:p>
        </w:tc>
        <w:tc>
          <w:tcPr>
            <w:tcW w:w="21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азань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проспект Победы д.85</w:t>
            </w:r>
          </w:p>
        </w:tc>
        <w:tc>
          <w:tcPr>
            <w:tcW w:w="19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(843) 237-92-33</w:t>
            </w:r>
          </w:p>
        </w:tc>
      </w:tr>
    </w:tbl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Рецензенты: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580FF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Фаткуллин</w:t>
      </w:r>
      <w:proofErr w:type="spellEnd"/>
      <w:r w:rsidRPr="00580FF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Ильдар </w:t>
      </w:r>
      <w:proofErr w:type="spellStart"/>
      <w:r w:rsidRPr="00580FF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Фаридович</w:t>
      </w:r>
      <w:proofErr w:type="spellEnd"/>
      <w:r w:rsidRPr="00580F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д.м.н., профессор, зав. кафедрой акушерства и гинекологии № 2 Казанского государственного медицинского университета, главный внештатный акушер-гинеколог МЗ РФ в Приволжском ФО, заслуженный деятель науки Республики Татарстан, заслуженный врач РТ, председатель Общества акушеров-гинекологов РТ.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Анисимов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Андрей Юрьевич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главный внештатный хирург МЗ РТ, заместитель главного врача по хирургии ГАУЗ «Городская клиническая больница №7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.К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азани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д.м.н., профессор кафедры «Скорой медицинской помощи» КГМА Минздрава РФ, член ассоциации хирургов-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гепатологов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и стран СНГ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Галимова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Ильмира </w:t>
      </w:r>
      <w:proofErr w:type="spellStart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Раисовна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главный акушер-гинеколог МЗ РТ, заместитель главного врача по акушерско-гинекологической помощи ГАУЗ «Республиканская клиническая больница МЗ РТ»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Сиразитдинов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Дамир </w:t>
      </w:r>
      <w:proofErr w:type="spellStart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Талибович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главный специалист эксперт по клинической лабораторной диагностике МЗ РТ.</w:t>
      </w:r>
    </w:p>
    <w:p w:rsidR="00580FF6" w:rsidRPr="00580FF6" w:rsidRDefault="00580FF6" w:rsidP="00580FF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ОБЛАСТЬ ПРИМЕНЕНИЯ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Настоящий стандарт устанавливает порядок исследования крови на клинически значимые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трансфузионно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опасные антигены эритроцитов групп крови человека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Настоящий стандарт распространяется на учреждения здравоохранения Республики Татарстан.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Основанием для разработки "Технологии выполнения простой медицинской услуги 12.05.007</w:t>
      </w: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«Определение подгрупп и других групп крови меньшего значения 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», является Отраслевой классификатор "Простые медицинские услуги" (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ОК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ПМУ N 91500.09.0001-2001), утвержденный Приказом Министерства здравоохранения Российской Федерации от 10 апреля </w:t>
      </w:r>
      <w:smartTag w:uri="urn:schemas-microsoft-com:office:smarttags" w:element="metricconverter">
        <w:smartTagPr>
          <w:attr w:name="ProductID" w:val="2001 г"/>
        </w:smartTagPr>
        <w:r w:rsidRPr="00580FF6">
          <w:rPr>
            <w:rFonts w:ascii="Times New Roman" w:eastAsia="Times New Roman" w:hAnsi="Times New Roman" w:cs="Times New Roman"/>
            <w:sz w:val="24"/>
            <w:szCs w:val="28"/>
            <w:lang w:eastAsia="ru-RU"/>
          </w:rPr>
          <w:t>2001 г</w:t>
        </w:r>
      </w:smartTag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. N 113.</w:t>
      </w:r>
    </w:p>
    <w:p w:rsidR="00580FF6" w:rsidRPr="00580FF6" w:rsidRDefault="00580FF6" w:rsidP="00580FF6">
      <w:pPr>
        <w:tabs>
          <w:tab w:val="left" w:pos="-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80FF6" w:rsidRPr="00580FF6" w:rsidRDefault="00580FF6" w:rsidP="00580FF6">
      <w:pPr>
        <w:numPr>
          <w:ilvl w:val="0"/>
          <w:numId w:val="15"/>
        </w:numPr>
        <w:tabs>
          <w:tab w:val="left" w:pos="-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ЦЕЛИ И ЗАДАЧИ 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Основной целью определения </w:t>
      </w:r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антител к антигенам эритроцитов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профилактика осложнений, возникающих у реципиентов при гемотрансфузиях, а также определение тактики ведения беременных и раннее лечение гемолитической болезни у новорожденных. 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 ПМУ 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«Определение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Сс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Ее,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разработана с целью нормативного обеспечения и унификации процесса выполнения простой медицинской услуги 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12.05.007</w:t>
      </w: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«Определение подгрупп и других групп крови меньшего значения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медицинских учреждениях на территории Республики Татарстан.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Необходимость типирования доноров и реципиентов по системам АВО,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Rh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-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Hr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: А, В, С, с,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E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e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Kell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позволяет исключить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аллоиммунизацию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реципиентов,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обусловленную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различием систем групп крови.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Иммунологическая несовместимость между компонентами крови и иммунной системой пациента является основой для развития иммунологических посттрансфузионных осложнений и реакций (немедленных и отсроченных).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ТВ ПМУ разработана с целью нормативного обеспечения и унификации процесса выполнения простой медицинской услуги 12.05.007 «Определение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» в медицинских учреждениях на территории Республики Татарстан.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ТВ ПМУ «Определение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» разработана для решения следующих задач: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- нормативного обеспечения внедрения стандарта ТВ ПМУ «Определение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»; 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- установления единых требований к оказанию ТВ ПМУ «Определение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»;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- унификации расчетов трудозатрат на выполнение ТВ ПМУ «Определение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» в медицинских учреждениях на территории Республики Татарстан;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- контроля качества и безопасности оказанной пациенту ПМУ «Определение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» в медицинских учреждениях на территории Республики Татарстан;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- проверки на соответствие установленным требованиям при проведении процедуры лицензирования;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>- защиты прав пациента и врача при разрешении спорных и конфликтных вопросов.</w:t>
      </w:r>
    </w:p>
    <w:p w:rsidR="00580FF6" w:rsidRPr="00580FF6" w:rsidRDefault="00580FF6" w:rsidP="00580FF6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ТВ ПМУ представляет собой систематизированный свод медицинских правил и условий, технического обеспечения, определяющий порядок и последовательность действий, выполняемых медицинским персоналом.</w:t>
      </w:r>
    </w:p>
    <w:p w:rsidR="00580FF6" w:rsidRPr="00580FF6" w:rsidRDefault="00580FF6" w:rsidP="00580FF6">
      <w:pPr>
        <w:tabs>
          <w:tab w:val="left" w:pos="-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разработке ТВ ПМУ «Определение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» использовались нормативные документы (приказы, инструкции, методические указания МЗ РФ и МЗ РТ), результаты научных исследований, </w:t>
      </w:r>
      <w:r w:rsidRPr="00580FF6">
        <w:rPr>
          <w:rFonts w:ascii="Times New Roman" w:eastAsia="Times New Roman" w:hAnsi="Times New Roman" w:cs="Times New Roman"/>
          <w:sz w:val="24"/>
          <w:szCs w:val="26"/>
          <w:lang w:eastAsia="ru-RU"/>
        </w:rPr>
        <w:t>практический опыт службы крови Республики Татарстан.</w:t>
      </w:r>
    </w:p>
    <w:p w:rsidR="00580FF6" w:rsidRPr="00580FF6" w:rsidRDefault="00580FF6" w:rsidP="00580FF6">
      <w:pPr>
        <w:tabs>
          <w:tab w:val="left" w:pos="-226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</w:p>
    <w:p w:rsidR="00580FF6" w:rsidRPr="00580FF6" w:rsidRDefault="00580FF6" w:rsidP="00580FF6">
      <w:pPr>
        <w:numPr>
          <w:ilvl w:val="0"/>
          <w:numId w:val="15"/>
        </w:numPr>
        <w:tabs>
          <w:tab w:val="left" w:pos="-226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НОРМАТИВНЫЕ ССЫЛКИ</w:t>
      </w:r>
    </w:p>
    <w:p w:rsidR="00580FF6" w:rsidRPr="00580FF6" w:rsidRDefault="00580FF6" w:rsidP="00580FF6">
      <w:pPr>
        <w:tabs>
          <w:tab w:val="left" w:pos="-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Постановления Правительства Российской Федерации от 26.01.2010 г. №29 «Технический регламент о требованиях безопасности крови, ее продуктов, кровезамещающих растворов и технических средств, используемых в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трансфузионно-инфузионной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терапии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СССР № 700 от 23.05.1985 г. «О мерах по дальнейшему предупреждению осложнений при переливании крови, ее компонентов, препаратов и кровезаменителей»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РФ от 25.12.1997 г. №380 «О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Федерации».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МЗ РФ № 2 от 09.01.1998 г. «Об утверждении инструкций по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иммуносерологии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РТ № 367 от 13.05.1999 г. «О мерах по предупреждению осложнений при переливании компонентов, препаратов крови, кровезаменителей»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РФ № 363 от 25.11.2002 г. «Об утверждении Инструкции по применению компонентов крови»;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РТ № 1135 от 05.08.2004 г. «О совершенствовании работы по профилактике посттрансфузионных осложнений в учреждениях здравоохранения Республики Татарстан»</w:t>
      </w:r>
    </w:p>
    <w:p w:rsidR="00580FF6" w:rsidRPr="00580FF6" w:rsidRDefault="00580FF6" w:rsidP="00580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lang w:eastAsia="ru-RU"/>
        </w:rPr>
      </w:pPr>
      <w:r w:rsidRPr="00580FF6">
        <w:rPr>
          <w:rFonts w:ascii="Times New Roman" w:eastAsia="Times New Roman" w:hAnsi="Times New Roman" w:cs="Times New Roman"/>
          <w:bCs/>
          <w:sz w:val="24"/>
          <w:lang w:eastAsia="ru-RU"/>
        </w:rPr>
        <w:tab/>
        <w:t>Приказ МЗ РФ от 28 марта 2012 г. n 278н «Об утверждении требований к организациям здравоохранения (структурным подразделениям), осуществляющим заготовку, переработку, хранение и обеспечение безопасности донорской крови и ее компонентов, и перечня оборудования для их оснащения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19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МЗ РФ </w:t>
      </w:r>
      <w:r w:rsidRPr="00580FF6">
        <w:rPr>
          <w:rFonts w:ascii="Times New Roman" w:eastAsia="Times New Roman" w:hAnsi="Times New Roman" w:cs="Times New Roman"/>
          <w:bCs/>
          <w:spacing w:val="-14"/>
          <w:sz w:val="24"/>
          <w:szCs w:val="24"/>
          <w:lang w:eastAsia="ru-RU"/>
        </w:rPr>
        <w:t xml:space="preserve">от 2 апреля </w:t>
      </w:r>
      <w:smartTag w:uri="urn:schemas-microsoft-com:office:smarttags" w:element="metricconverter">
        <w:smartTagPr>
          <w:attr w:name="ProductID" w:val="2013 г"/>
        </w:smartTagPr>
        <w:r w:rsidRPr="00580FF6">
          <w:rPr>
            <w:rFonts w:ascii="Times New Roman" w:eastAsia="Times New Roman" w:hAnsi="Times New Roman" w:cs="Times New Roman"/>
            <w:bCs/>
            <w:spacing w:val="-14"/>
            <w:sz w:val="24"/>
            <w:szCs w:val="24"/>
            <w:lang w:eastAsia="ru-RU"/>
          </w:rPr>
          <w:t>2013 г</w:t>
        </w:r>
      </w:smartTag>
      <w:r w:rsidRPr="00580FF6">
        <w:rPr>
          <w:rFonts w:ascii="Times New Roman" w:eastAsia="Times New Roman" w:hAnsi="Times New Roman" w:cs="Times New Roman"/>
          <w:bCs/>
          <w:spacing w:val="-14"/>
          <w:sz w:val="24"/>
          <w:szCs w:val="24"/>
          <w:lang w:eastAsia="ru-RU"/>
        </w:rPr>
        <w:t>. № 183н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580FF6">
        <w:rPr>
          <w:rFonts w:ascii="Times New Roman" w:eastAsia="Times New Roman" w:hAnsi="Times New Roman" w:cs="Times New Roman"/>
          <w:bCs/>
          <w:spacing w:val="-23"/>
          <w:sz w:val="24"/>
          <w:szCs w:val="24"/>
          <w:lang w:eastAsia="ru-RU"/>
        </w:rPr>
        <w:t>Об утверждении правил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bCs/>
          <w:spacing w:val="-23"/>
          <w:sz w:val="24"/>
          <w:szCs w:val="24"/>
          <w:lang w:eastAsia="ru-RU"/>
        </w:rPr>
        <w:t>клинического использования донорской крови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bCs/>
          <w:spacing w:val="-19"/>
          <w:sz w:val="24"/>
          <w:szCs w:val="24"/>
          <w:lang w:eastAsia="ru-RU"/>
        </w:rPr>
        <w:t>и (или) ее компонентов»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МЗ РТ от 27.04.2004 г. № 691 «О совершенствовании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преконцепционной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пренатальной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постнатальной профилактики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иммуноконфликтной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беременности в Республике Татарстан»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МЗ РТ от 16.07.2004 г. № 1047 «О порядке получения, учета и хранения компонентов крови»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МЗ РТ от 15.07.2010 г. № 908 «Об установлении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стандартов технологий исследования функции органов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тканей с использованием специальных процедур»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указания № 52001- 109 МЗРФ, РНИИ гематологии и трансфузиологии «Требования к проведению иммуногематологических исследований доноров и реципиентов на СПК и в ЛПУ», Санкт- Петербург, </w:t>
      </w:r>
      <w:smartTag w:uri="urn:schemas-microsoft-com:office:smarttags" w:element="metricconverter">
        <w:smartTagPr>
          <w:attr w:name="ProductID" w:val="2002 г"/>
        </w:smartTagPr>
        <w:r w:rsidRPr="00580F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2002 г</w:t>
        </w:r>
      </w:smartTag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МЗ РФ «Алгоритмы исследования антигенов эритроцитов и антиэритроцитарных антител в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сложнодиагностируемых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случаях», Санкт- Петербург, </w:t>
      </w:r>
      <w:smartTag w:uri="urn:schemas-microsoft-com:office:smarttags" w:element="metricconverter">
        <w:smartTagPr>
          <w:attr w:name="ProductID" w:val="2000 г"/>
        </w:smartTagPr>
        <w:r w:rsidRPr="00580F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2000 г</w:t>
        </w:r>
      </w:smartTag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0FF6" w:rsidRPr="00580FF6" w:rsidRDefault="00580FF6" w:rsidP="00580FF6">
      <w:pPr>
        <w:shd w:val="clear" w:color="auto" w:fill="FFFFFF"/>
        <w:spacing w:before="120" w:after="105" w:line="240" w:lineRule="auto"/>
        <w:ind w:right="240"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СанПиН 2.1.3.2630-10 «Санитарно-эпидемиологические требования к организациям, осуществляющим медицинскую деятельность»</w:t>
      </w:r>
    </w:p>
    <w:p w:rsidR="00580FF6" w:rsidRPr="00580FF6" w:rsidRDefault="00580FF6" w:rsidP="00580FF6">
      <w:pPr>
        <w:shd w:val="clear" w:color="auto" w:fill="FFFFFF"/>
        <w:spacing w:before="120" w:after="105" w:line="240" w:lineRule="auto"/>
        <w:ind w:right="240" w:firstLine="709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СанПиН 2.1.7.2790-10 «Санитарно-эпидемиологические требования к обращению с медицинскими отходами»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</w:p>
    <w:p w:rsidR="00580FF6" w:rsidRPr="00580FF6" w:rsidRDefault="00580FF6" w:rsidP="00580FF6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ТЕРМИНЫ, ОПРЕДЕЛЕНИЯ И СОКРАЩЕНИЯ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8910"/>
        </w:tabs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4.1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настоящем стандарте применены следующие термины и определения: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Агглютинация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реакция взаимодействия антигена со специфическим антителом, проявляется в виде склеивания эритроцитов.</w:t>
      </w:r>
    </w:p>
    <w:p w:rsidR="00580FF6" w:rsidRPr="00580FF6" w:rsidRDefault="00580FF6" w:rsidP="00580FF6">
      <w:pPr>
        <w:spacing w:before="6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Антигены групп крови человека -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это вещества, несущее признаки генетически чужеродной информации, при попадании в организм вызывающие иммунный ответ (выработку антител).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Антигены эритроцитов человека являются структурными </w:t>
      </w:r>
      <w:proofErr w:type="gramStart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образованиями</w:t>
      </w:r>
      <w:proofErr w:type="gramEnd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расположенными на вешней поверхности мембраны эритроцитов, обладающими способностью взаимодействовать с соответствующим АТ, образовывать комплекс АГ-АТ, наследуются от родителей, генотип групп крови в течение жизни </w:t>
      </w:r>
      <w:r w:rsidRPr="00580FF6">
        <w:rPr>
          <w:rFonts w:ascii="Times New Roman" w:eastAsia="Times New Roman" w:hAnsi="Times New Roman" w:cs="Times New Roman"/>
          <w:b/>
          <w:bCs/>
          <w:i/>
          <w:iCs/>
          <w:color w:val="000000"/>
          <w:kern w:val="24"/>
          <w:sz w:val="24"/>
          <w:szCs w:val="24"/>
          <w:lang w:eastAsia="ru-RU"/>
        </w:rPr>
        <w:t>не меняются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580FF6" w:rsidRPr="00580FF6" w:rsidRDefault="00580FF6" w:rsidP="00580FF6">
      <w:pPr>
        <w:spacing w:before="60" w:after="0" w:line="240" w:lineRule="auto"/>
        <w:ind w:firstLine="851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В настоящее время известны </w:t>
      </w:r>
      <w:r w:rsidRPr="00580FF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38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групповых антигенных систем и их коллекций, включающие более </w:t>
      </w:r>
      <w:r w:rsidRPr="00580FF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500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антигенов эритроцитов и белков плазмы. </w:t>
      </w:r>
      <w:r w:rsidRPr="00580FF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10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из них имеют клиническое значение, т.е. при попадании в организм индивида АГ, отсутствующие у него, на них могут начать вырабатываться АТ.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Клинически значимые </w:t>
      </w:r>
      <w:proofErr w:type="spellStart"/>
      <w:r w:rsidRPr="00580FF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трансфузионно</w:t>
      </w:r>
      <w:proofErr w:type="spellEnd"/>
      <w:r w:rsidRPr="00580FF6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 xml:space="preserve"> опасные группы крови: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АВО,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MNS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P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, Резус (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RH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),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Lutheran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(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LU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), </w:t>
      </w:r>
      <w:proofErr w:type="spellStart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Kell</w:t>
      </w:r>
      <w:proofErr w:type="spellEnd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Lewis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(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LE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),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Duffy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(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FY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),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Kidd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(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JK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),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Diego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(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DI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)</w:t>
      </w:r>
    </w:p>
    <w:p w:rsidR="00580FF6" w:rsidRPr="00580FF6" w:rsidRDefault="00580FF6" w:rsidP="00580FF6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Антиген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может быть представлен слабыми вариантами, в связи с чем в группах крови А(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AB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 выделяют подгруппы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 соответственно. Эритроциты подгруппы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обладают пониженными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агглютинабельными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свойствами. Слабо выраженная агглютинация может остаться незамеченной,  и лица подгруппы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2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быть ошибочно отнесены к группе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а лица с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погруппой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В(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 могут быть причислены к группе В(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Естественные анти-А, анти-В антитела (агглютинины)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– эти иммуноглобулины классов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Ig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M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которые постоянно находятся в сыворотке крови человека без всякого иммунного стимула. Они являются врожденными (регулярными) и не меняются в течение жизни. В сыворотке крови примерно 1% лиц, имеющий подгруппу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), и почти 25% лиц, имеющих подгруппу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В(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IV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) содержатся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экстраагглютинины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α 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(антитела анти-А),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специфически взаимодействующие с эритроцитами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) и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A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B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IV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). Они не активны при 37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/>
        </w:rPr>
        <w:t>0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клинического значения не имеют, однако вызывает агглютинацию эритроцитов при проведении проб на индивидуальную совместимость крови донора и реципиента.</w:t>
      </w:r>
    </w:p>
    <w:p w:rsidR="00580FF6" w:rsidRPr="00580FF6" w:rsidRDefault="00580FF6" w:rsidP="00580FF6">
      <w:pPr>
        <w:spacing w:after="0" w:line="240" w:lineRule="auto"/>
        <w:ind w:firstLine="708"/>
        <w:contextualSpacing/>
        <w:jc w:val="both"/>
        <w:textAlignment w:val="baseline"/>
        <w:rPr>
          <w:rFonts w:ascii="Times New Roman" w:eastAsia="Times New Roman" w:hAnsi="Times New Roman" w:cs="Times New Roman"/>
          <w:color w:val="A04DA3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На эритроцитах человека имеются </w:t>
      </w:r>
      <w:r w:rsidRPr="00580FF6">
        <w:rPr>
          <w:rFonts w:ascii="Times New Roman" w:eastAsia="Times New Roman" w:hAnsi="Times New Roman" w:cs="Times New Roman"/>
          <w:bCs/>
          <w:iCs/>
          <w:color w:val="000000"/>
          <w:kern w:val="24"/>
          <w:sz w:val="24"/>
          <w:szCs w:val="24"/>
          <w:lang w:eastAsia="ru-RU"/>
        </w:rPr>
        <w:t>5 основных антигенов системы Резус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(D, C, c, E, e).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антигенов системы Резус наибольшее клиническое значение имеет антиген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Обладая выраженными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иммуногенными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свойствами, антиген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95% является причиной гемолитической болезни новорожденного, а также причиной тяжёлых посттрансфузионных осложнений. Лиц, имеющих антиген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относят к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+, не имеющих антиген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относят к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-.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Имеются индивиды, у которых антиген 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слабо выражен (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val="en-US" w:eastAsia="ru-RU"/>
        </w:rPr>
        <w:t>Du</w:t>
      </w:r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). Реципиенты, содержащие антиген </w:t>
      </w:r>
      <w:proofErr w:type="spellStart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Du</w:t>
      </w:r>
      <w:proofErr w:type="spellEnd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, должны быть отнесены </w:t>
      </w:r>
      <w:proofErr w:type="gramStart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к</w:t>
      </w:r>
      <w:proofErr w:type="gramEnd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резус-отрицательным и им должна быть перелита только резус-отрицательная кровь, так как нормальный антиген D может вызвать у таких лиц иммунный ответ. Поэтому кровь реципиентов обязательно тестировать на присутствие </w:t>
      </w:r>
      <w:proofErr w:type="spellStart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Du</w:t>
      </w:r>
      <w:proofErr w:type="spellEnd"/>
      <w:r w:rsidRPr="00580FF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Антиген </w:t>
      </w:r>
      <w:proofErr w:type="gramStart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встречается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приблизительно у 80% людей, а именно у всех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-отрицательных и у 67%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-положительных. Необходимо учитывать его антигенные свойства, ведущие к выработке у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с-отрицательных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 анти-с антиэритроцитарных антител.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выраженными антигенными свойствами среди минорных антигенов эритроцитов обладает антиген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Антиген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челлано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 является продуктом аллельного гена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, встречается чрезвычайно часто (98,8%).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Фенотип антигенов эритроцитов человека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включает в себя набор антигенов разных систем групп крови, расположенных на поверхности эритроцитов. Этот набор для каждого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человека индивидуален. Поэтому при переливании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эритроцитсодержащих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компонентов крови необходимо учитывать совместимость по антигенам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В,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, С, с, Е, е.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Аллосенсибилизация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выработка антител на антигены, отсутствующие у данного индивида. Синтез антител может наблюдаться в ответ на гемотрансфузии или беременность. При последующих гемотрансфузиях может произойти взаимодействие антигенов эритроцитов донора и антител реципиента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vivo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приводит к посттрансфузионному осложнению.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Неспецифическая агглютинация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агглютинация, неожиданная, атипичная, не свойственная конкретной групповой антигенной системе. В основе неспецифической агглютинации лежат определённые специфические механизмы. На появление неспецифической агглютинации влияют белковый состав среды, солевой состав среды, состояние свёртывающей системы крови, гормонального фона.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Гелевый</w:t>
      </w:r>
      <w:proofErr w:type="spellEnd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тест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метод выявления антиэритроцитарных антител, основанный на комбинации методов агглютинации и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гель-фильтрации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Проводится с помощью  пластиковых диагностических карточек, которые состоят из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микропробирок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заполненных полиакриламидным гелем и соответствующими реагентами (сывороткой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Кумбса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580FF6" w:rsidRPr="00580FF6" w:rsidRDefault="00580FF6" w:rsidP="00580F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Специфичность</w:t>
      </w:r>
      <w:r w:rsidRPr="00580FF6">
        <w:rPr>
          <w:rFonts w:ascii="Times New Roman" w:eastAsia="Times New Roman" w:hAnsi="Times New Roman" w:cs="Times New Roman"/>
          <w:b/>
          <w:i/>
          <w:sz w:val="24"/>
          <w:szCs w:val="28"/>
          <w:lang w:eastAsia="ru-RU"/>
        </w:rPr>
        <w:t xml:space="preserve"> -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0F6FA"/>
          <w:lang w:eastAsia="ru-RU"/>
        </w:rPr>
        <w:t xml:space="preserve">уникальная конфигурация части молекулы антигена, определяющая стерические взаимодействия его с молекулами комплементарной конфигурации (антитела, антигены), </w:t>
      </w:r>
      <w:r w:rsidRPr="00580FF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 xml:space="preserve">определяет структурные особенности антигена, в частности структуры антигенной детерминанты, или </w:t>
      </w:r>
      <w:proofErr w:type="spellStart"/>
      <w:r w:rsidRPr="00580FF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эпитопа</w:t>
      </w:r>
      <w:proofErr w:type="spellEnd"/>
      <w:r w:rsidRPr="00580FF6">
        <w:rPr>
          <w:rFonts w:ascii="Times New Roman" w:eastAsia="Times New Roman" w:hAnsi="Times New Roman" w:cs="Times New Roman"/>
          <w:color w:val="000000"/>
          <w:sz w:val="24"/>
          <w:szCs w:val="28"/>
          <w:shd w:val="clear" w:color="auto" w:fill="FFFFFF"/>
          <w:lang w:eastAsia="ru-RU"/>
        </w:rPr>
        <w:t>.</w:t>
      </w:r>
    </w:p>
    <w:p w:rsidR="00580FF6" w:rsidRPr="00580FF6" w:rsidRDefault="00580FF6" w:rsidP="00580FF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</w:pPr>
      <w:proofErr w:type="spellStart"/>
      <w:r w:rsidRPr="00580FF6">
        <w:rPr>
          <w:rFonts w:ascii="Times New Roman" w:eastAsia="Times New Roman" w:hAnsi="Times New Roman" w:cs="Times New Roman"/>
          <w:b/>
          <w:sz w:val="24"/>
          <w:szCs w:val="28"/>
          <w:lang w:val="x-none" w:eastAsia="x-none"/>
        </w:rPr>
        <w:t>Моноклональные</w:t>
      </w:r>
      <w:proofErr w:type="spellEnd"/>
      <w:r w:rsidRPr="00580FF6">
        <w:rPr>
          <w:rFonts w:ascii="Times New Roman" w:eastAsia="Times New Roman" w:hAnsi="Times New Roman" w:cs="Times New Roman"/>
          <w:b/>
          <w:sz w:val="24"/>
          <w:szCs w:val="28"/>
          <w:lang w:val="x-none" w:eastAsia="x-none"/>
        </w:rPr>
        <w:t xml:space="preserve"> реагенты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  <w:t xml:space="preserve"> – реагенты, предназначенные для определения отдельных антигенов системы Резус 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x-none"/>
        </w:rPr>
        <w:t>Kell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val="x-none" w:eastAsia="x-none"/>
        </w:rPr>
        <w:t>, представляют собой продукты соответствующих линий мышиных гибридом.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580FF6" w:rsidRPr="00580FF6" w:rsidRDefault="00580FF6" w:rsidP="00580FF6">
      <w:pPr>
        <w:tabs>
          <w:tab w:val="left" w:pos="1440"/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4.2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настоящем стандарте применяют следующие сокращения: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МЗ РФ – Министерство здравоохранения Российской Федерации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МЗ РТ – Министерство здравоохранения Республики Татарстан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ГАУЗ РЦК МЗ РТ – Государственное автономное учреждение здравоохранения «Республиканский центр крови Министерства здравоохранения Республики Татарстан»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УЗ – учреждение здравоохранения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КЛД – клиническая лабораторная диагностика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ТВ ПМУ - технология выполнения простой медицинской услуги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ПМУ – простая медицинская услуга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РПГА – реакция прямой гемагглютинации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ГБН – гемолитическая болезнь новорожденных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ОПК – отделение переливания крови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КТТ – кабинет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трансфузионной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терапии</w:t>
      </w:r>
    </w:p>
    <w:p w:rsidR="00580FF6" w:rsidRPr="00580FF6" w:rsidRDefault="00580FF6" w:rsidP="00580FF6">
      <w:pPr>
        <w:tabs>
          <w:tab w:val="left" w:pos="1440"/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5 Применяемое оборудование, инструменты и материалы</w:t>
      </w:r>
    </w:p>
    <w:p w:rsidR="00580FF6" w:rsidRPr="00580FF6" w:rsidRDefault="00580FF6" w:rsidP="00580FF6">
      <w:pPr>
        <w:tabs>
          <w:tab w:val="left" w:pos="-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4"/>
          <w:lang w:eastAsia="ru-RU"/>
        </w:rPr>
      </w:pPr>
    </w:p>
    <w:p w:rsidR="00580FF6" w:rsidRPr="00580FF6" w:rsidRDefault="00580FF6" w:rsidP="00580FF6">
      <w:pPr>
        <w:tabs>
          <w:tab w:val="left" w:pos="198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580FF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5.1 Перечень применяемого оборудования </w:t>
      </w:r>
      <w:r w:rsidRPr="00580FF6">
        <w:rPr>
          <w:rFonts w:ascii="Times New Roman" w:eastAsia="Calibri" w:hAnsi="Times New Roman" w:cs="Times New Roman"/>
          <w:sz w:val="24"/>
          <w:szCs w:val="24"/>
          <w:lang w:eastAsia="ru-RU"/>
        </w:rPr>
        <w:t>указаны в таблице 2.</w:t>
      </w:r>
      <w:proofErr w:type="gramEnd"/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2 - 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Приборы, инструменты, изделия медицинского назначения, необходимые для исследования антител к антигенам эритроцитов, а также альтернативные приборы и изделия медицинской техники</w:t>
      </w:r>
    </w:p>
    <w:tbl>
      <w:tblPr>
        <w:tblW w:w="9825" w:type="dxa"/>
        <w:jc w:val="center"/>
        <w:tblInd w:w="-82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1"/>
        <w:gridCol w:w="2464"/>
        <w:gridCol w:w="3540"/>
      </w:tblGrid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857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Наименование прибора, изделия   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br/>
              <w:t>медицинской техники и др.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Количество приборов,  инструментов, изделий медицинской техники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Альтернативный прибор, изделие медицинской техники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494"/>
          <w:jc w:val="center"/>
        </w:trPr>
        <w:tc>
          <w:tcPr>
            <w:tcW w:w="98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Определение подгрупп А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), 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перекрестным методом  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лабораторный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с покрытием из пластика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лампа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Настенная лампа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tabs>
                <w:tab w:val="left" w:pos="114"/>
                <w:tab w:val="left" w:pos="318"/>
              </w:tabs>
              <w:spacing w:after="0" w:line="240" w:lineRule="auto"/>
              <w:ind w:left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Планшеты для </w:t>
            </w:r>
            <w:proofErr w:type="spellStart"/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-гематологических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исследований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 на 1 исследование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Тарелка белого цвета фарфоровая или эмалированная 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Пипетка Пастера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Автоматическая пипетка переменного объёма 20-200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Стеклянные палочки (лопаточки)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 до 10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Палочка из пластмассы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Песочные часы на 3 и 5 минут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Лупа с 8-кратным увеличением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Штатив лабораторный на 10 гнёзд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Стеклянные баночки 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Стеклянные стаканы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Центрифуга лабораторная ОПН-3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Центрифуга лабораторная </w:t>
            </w:r>
          </w:p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80FF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 М</w:t>
              </w:r>
            </w:smartTag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ELMI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98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tabs>
                <w:tab w:val="left" w:pos="0"/>
              </w:tabs>
              <w:spacing w:after="0" w:line="240" w:lineRule="auto"/>
              <w:ind w:left="-312" w:firstLine="28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Определение  подгрупп А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), 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  <w:lang w:eastAsia="ru-RU"/>
              </w:rPr>
              <w:t>2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IV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гелевой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методикой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лабораторный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с покрытием из пластика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Штатив лабораторный на 10 гнёзд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Центрифуга лабораторная ОПН-3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Центрифуга лабораторная </w:t>
            </w:r>
          </w:p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80FF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 М</w:t>
              </w:r>
            </w:smartTag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,, 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ELMI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Центрифуга для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гелевых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пластиковых карт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Автоматическая пипетка 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cr/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енного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объёма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5-40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шт.</w:t>
            </w:r>
          </w:p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100-1000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Штатив для автоматических пипеток переменного объема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Пробирки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центрифужные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98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Фенотипирование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по системам </w:t>
            </w: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Rh</w:t>
            </w: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Hr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Kell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</w:p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моноклональными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реагентами на плоскости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лабораторный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с покрытием из пластика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лампа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Настенная лампа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Планшеты для </w:t>
            </w:r>
            <w:proofErr w:type="spellStart"/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-гематологических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исследований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 на 1 исследование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Тарелка белого цвета фарфоровая или эмалированная 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Пипетка Пастера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Автоматическая пипетка переменного объёма (20-200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Стеклянные палочки (лопаточки)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 до 10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Палочка из пластмассы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Песочные часы на 5 минут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Секундомер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Лупа с 4-6-кратным увеличением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Лупа с 4-6 кратным увеличением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Штатив лабораторный на 10 гнёзд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Штатив лабораторный на 10 гнёзд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Стеклянные стаканы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Стеклянные баночки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Центрифуга лабораторная ОПН-3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Центрифуга лабораторная </w:t>
            </w:r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80FF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 М</w:t>
              </w:r>
            </w:smartTag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ELMI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98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Фенотипирование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по системам </w:t>
            </w: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Rh</w:t>
            </w: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Hr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Kell</w:t>
            </w:r>
            <w:proofErr w:type="spellEnd"/>
          </w:p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 использованием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гелевых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диагностических карт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лабораторный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с покрытием из пластика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Настольная лампа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Настенная лампа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693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Автоматическая пипетка переменного объёма 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keepNext/>
              <w:spacing w:before="240" w:after="6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5-40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1 шт.</w:t>
            </w:r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100-1000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Штатив лабораторный на 10 гнёзд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Центрифуга лабораторная ОПН-3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Центрифуга лабораторная </w:t>
            </w:r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580FF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6 М</w:t>
              </w:r>
            </w:smartTag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ELMI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Центрифуга для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гелевых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</w:t>
            </w:r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240"/>
          <w:jc w:val="center"/>
        </w:trPr>
        <w:tc>
          <w:tcPr>
            <w:tcW w:w="3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Пробирка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центрифужная</w:t>
            </w:r>
            <w:proofErr w:type="spellEnd"/>
          </w:p>
        </w:tc>
        <w:tc>
          <w:tcPr>
            <w:tcW w:w="2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шт.</w:t>
            </w:r>
          </w:p>
        </w:tc>
        <w:tc>
          <w:tcPr>
            <w:tcW w:w="3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Пробирка биологическая</w:t>
            </w:r>
          </w:p>
        </w:tc>
      </w:tr>
    </w:tbl>
    <w:p w:rsidR="00580FF6" w:rsidRPr="00580FF6" w:rsidRDefault="00580FF6" w:rsidP="00580FF6">
      <w:pPr>
        <w:keepNext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5.2. Реактивы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определения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подгрупп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фенотипа систем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Hr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Kell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крови реципиента необходимы реактивы, которые представлены в таблице 3.</w:t>
      </w:r>
    </w:p>
    <w:p w:rsidR="00580FF6" w:rsidRPr="00580FF6" w:rsidRDefault="00580FF6" w:rsidP="00580FF6">
      <w:pPr>
        <w:spacing w:after="0" w:line="240" w:lineRule="auto"/>
        <w:ind w:firstLine="62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3 - Реагенты, необходимые для определения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подгрупп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 фенотипа по системам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Rh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Hr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Kell</w:t>
      </w:r>
      <w:proofErr w:type="spellEnd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1"/>
        <w:gridCol w:w="2390"/>
        <w:gridCol w:w="2003"/>
        <w:gridCol w:w="2889"/>
      </w:tblGrid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Наименование реактива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Количество реактива, необходимое для выполнения 1-го исследования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Сроки и особенности хранения реактива, работы с ним*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Документ, регламентирующий использование реактива</w:t>
            </w:r>
          </w:p>
        </w:tc>
      </w:tr>
      <w:tr w:rsidR="00580FF6" w:rsidRPr="00580FF6" w:rsidTr="00E54E3E">
        <w:tc>
          <w:tcPr>
            <w:tcW w:w="0" w:type="auto"/>
            <w:gridSpan w:val="4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Определение</w:t>
            </w:r>
            <w:r w:rsidRPr="00580FF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подгрупп А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2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II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), 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A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vertAlign w:val="subscript"/>
                <w:lang w:eastAsia="ru-RU"/>
              </w:rPr>
              <w:t>2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B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IV</w:t>
            </w: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  <w:r w:rsidRPr="00580FF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580FF6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перекрёстным методом</w:t>
            </w:r>
          </w:p>
        </w:tc>
      </w:tr>
      <w:tr w:rsidR="00580FF6" w:rsidRPr="00580FF6" w:rsidTr="00E54E3E"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Стандартные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изогемагглютинирующие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сыворотки АВО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По одной большой капле (100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) реактивов </w:t>
            </w:r>
          </w:p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О (анти -АВ), А (анти-В) и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 В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 (анти-А) двух серий; 100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, АВ-одной серии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Хранить при </w:t>
            </w:r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 xml:space="preserve">+2…+8 </w:t>
            </w:r>
            <w:r w:rsidRPr="00580FF6">
              <w:rPr>
                <w:rFonts w:ascii="Times New Roman" w:eastAsia="Times New Roman" w:hAnsi="Times New Roman" w:cs="Times New Roman"/>
                <w:iCs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С.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  <w:t>Срок годности - 6 месяцев с даты изготовления.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После вскрытия 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годен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в течение 2 недель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МЗ РФ № 2 от 09.01.1998 г. «Об утверждении инструкций по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иммуносерологии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580FF6" w:rsidRPr="00580FF6" w:rsidTr="00E54E3E"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Цоликлоны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анти-А, анти-В, ант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cr/>
              <w:t>-АВ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 одной большой капле (100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) каждой группы</w:t>
            </w:r>
          </w:p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Хранить при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+2…+8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Срок годности - 2 года с даты изготовления.</w:t>
            </w:r>
          </w:p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После вскрытия  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годен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в течение 1 месяца.</w:t>
            </w:r>
          </w:p>
        </w:tc>
        <w:tc>
          <w:tcPr>
            <w:tcW w:w="0" w:type="auto"/>
            <w:vMerge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Стандартные эритроциты АВО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 одной маленькой капле (10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) каждой группы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Хранить при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+2…+8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Срок годности - 2 месяца с даты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изготовления.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После вскрытия  годны  в течение 5-7 дней.</w:t>
            </w:r>
          </w:p>
        </w:tc>
        <w:tc>
          <w:tcPr>
            <w:tcW w:w="0" w:type="auto"/>
            <w:vMerge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Цоликлон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анти-А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1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лектин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(для КДЛ и специализированных лабораторий)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большая капля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cr/>
              <w:t xml:space="preserve"> (100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Хранить при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+2…+8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С. 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Срок годности - 2 года с даты изготовления.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После вскрытия  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годен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 в течение 1 месяца.</w:t>
            </w:r>
          </w:p>
        </w:tc>
        <w:tc>
          <w:tcPr>
            <w:tcW w:w="0" w:type="auto"/>
            <w:vMerge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натрия хлорида, 0,9%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50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каждую лунку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Хранить при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+15…+25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С. </w:t>
            </w:r>
          </w:p>
        </w:tc>
        <w:tc>
          <w:tcPr>
            <w:tcW w:w="0" w:type="auto"/>
            <w:vMerge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gridSpan w:val="4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Определение основных групп крови АВО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гелевой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методикой</w:t>
            </w:r>
          </w:p>
        </w:tc>
      </w:tr>
      <w:tr w:rsidR="00580FF6" w:rsidRPr="00580FF6" w:rsidTr="00E54E3E"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Диагностические карточки для определения группы крови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0,5 до 1 шт. в зависимости от используемой диагностической карты.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Хранить при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+15…+25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Инструкции, прилагаемые к соответствующим диагностическим карточкам</w:t>
            </w:r>
          </w:p>
        </w:tc>
      </w:tr>
      <w:tr w:rsidR="00580FF6" w:rsidRPr="00580FF6" w:rsidTr="00E54E3E"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Раствор для приготовления суспензии исследуемых эритроцитов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ind w:left="110"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зависимости от требований производителя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Хранить при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+2…+8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Инструкция, прилагаемая к раствору</w:t>
            </w:r>
          </w:p>
        </w:tc>
      </w:tr>
      <w:tr w:rsidR="00580FF6" w:rsidRPr="00580FF6" w:rsidTr="00E54E3E"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Набор стандартных эритроцитов А</w:t>
            </w: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  <w:lang w:eastAsia="ru-RU"/>
              </w:rPr>
              <w:t xml:space="preserve">1 </w:t>
            </w: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</w:t>
            </w:r>
            <w:proofErr w:type="gramEnd"/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ind w:left="110"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50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каждого реактива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Хранить при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+2…+8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Инструкция, прилагаемая к набору</w:t>
            </w:r>
          </w:p>
        </w:tc>
      </w:tr>
      <w:tr w:rsidR="00580FF6" w:rsidRPr="00580FF6" w:rsidTr="00E54E3E">
        <w:tc>
          <w:tcPr>
            <w:tcW w:w="0" w:type="auto"/>
            <w:gridSpan w:val="4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Фенотипирование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по системам </w:t>
            </w: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Rh</w:t>
            </w: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Hr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Kell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моноклональными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реагентами на плоскости</w:t>
            </w: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Моноклональные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реагенты а-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а-С, а-с, а-Е, а-е, а-С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а-К, 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k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По 100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мкл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каждого реагента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Хранить при</w:t>
            </w:r>
          </w:p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+2…+8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С. </w:t>
            </w:r>
          </w:p>
          <w:p w:rsidR="00580FF6" w:rsidRPr="00580FF6" w:rsidRDefault="00580FF6" w:rsidP="00580FF6">
            <w:pPr>
              <w:tabs>
                <w:tab w:val="left" w:pos="1480"/>
              </w:tabs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Инструкции, прилагаемые к реагентам</w:t>
            </w:r>
          </w:p>
        </w:tc>
      </w:tr>
      <w:tr w:rsidR="00580FF6" w:rsidRPr="00580FF6" w:rsidTr="00E54E3E">
        <w:tc>
          <w:tcPr>
            <w:tcW w:w="0" w:type="auto"/>
            <w:gridSpan w:val="4"/>
            <w:shd w:val="clear" w:color="auto" w:fill="auto"/>
          </w:tcPr>
          <w:p w:rsidR="00580FF6" w:rsidRPr="00580FF6" w:rsidRDefault="00580FF6" w:rsidP="00580FF6">
            <w:pPr>
              <w:tabs>
                <w:tab w:val="left" w:pos="-14"/>
              </w:tabs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Фенотипирование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по системе </w:t>
            </w: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Rh</w:t>
            </w: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Hr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Kell</w:t>
            </w:r>
            <w:proofErr w:type="spellEnd"/>
          </w:p>
          <w:p w:rsidR="00580FF6" w:rsidRPr="00580FF6" w:rsidRDefault="00580FF6" w:rsidP="00580FF6">
            <w:pPr>
              <w:tabs>
                <w:tab w:val="left" w:pos="-14"/>
              </w:tabs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с использованием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гелевых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 xml:space="preserve"> диагностических карт</w:t>
            </w:r>
          </w:p>
        </w:tc>
      </w:tr>
      <w:tr w:rsidR="00580FF6" w:rsidRPr="00580FF6" w:rsidTr="00E54E3E"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Диагностические карточки для определения фенотипа системы Резус 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Kell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1 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 карта.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Хранить при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+2…+8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Инструкции, прилагаемые к диагностическим карточкам</w:t>
            </w:r>
          </w:p>
        </w:tc>
      </w:tr>
      <w:tr w:rsidR="00580FF6" w:rsidRPr="00580FF6" w:rsidTr="00E54E3E"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для приготовления суспензии исследуемых эритроцитов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ind w:left="110"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зависимости от требований производителя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Хранить при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+2…+8 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Инструкция, прилагаемая к раствору</w:t>
            </w:r>
          </w:p>
        </w:tc>
      </w:tr>
    </w:tbl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-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внутри холодильной камеры, где хранятся реактивы, контролируется средним медработником дважды в день. Показания термометра регистрируются в «Журнале регистрации температурного режима холодильника» (см. приложение 1).</w:t>
      </w:r>
    </w:p>
    <w:p w:rsidR="00580FF6" w:rsidRPr="00580FF6" w:rsidRDefault="00580FF6" w:rsidP="00580F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5.3. Прочий расходуемый материал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выполнения ПМУ «Определение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»  используется прочий расходуемый материал (см. таблицу 4). 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Таблица 4  - Прочий расходный материал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2"/>
        <w:gridCol w:w="3288"/>
        <w:gridCol w:w="3176"/>
      </w:tblGrid>
      <w:tr w:rsidR="00580FF6" w:rsidRPr="00580FF6" w:rsidTr="00E54E3E">
        <w:trPr>
          <w:trHeight w:val="534"/>
          <w:jc w:val="center"/>
        </w:trPr>
        <w:tc>
          <w:tcPr>
            <w:tcW w:w="3322" w:type="dxa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Наименование</w:t>
            </w:r>
          </w:p>
        </w:tc>
        <w:tc>
          <w:tcPr>
            <w:tcW w:w="3288" w:type="dxa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Количество </w:t>
            </w:r>
          </w:p>
        </w:tc>
        <w:tc>
          <w:tcPr>
            <w:tcW w:w="3176" w:type="dxa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Примечание</w:t>
            </w:r>
          </w:p>
        </w:tc>
      </w:tr>
      <w:tr w:rsidR="00580FF6" w:rsidRPr="00580FF6" w:rsidTr="00E54E3E">
        <w:trPr>
          <w:jc w:val="center"/>
        </w:trPr>
        <w:tc>
          <w:tcPr>
            <w:tcW w:w="3322" w:type="dxa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Ватно-марлевый тампон</w:t>
            </w:r>
          </w:p>
        </w:tc>
        <w:tc>
          <w:tcPr>
            <w:tcW w:w="3288" w:type="dxa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1 тампон: вата - 3,0 гр., </w:t>
            </w:r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бинт - </w:t>
            </w:r>
            <w:smartTag w:uri="urn:schemas-microsoft-com:office:smarttags" w:element="metricconverter">
              <w:smartTagPr>
                <w:attr w:name="ProductID" w:val="30 см"/>
              </w:smartTagPr>
              <w:r w:rsidRPr="00580FF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см</w:t>
              </w:r>
            </w:smartTag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176" w:type="dxa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подсушивания пипетки и стеклянной палочки </w:t>
            </w:r>
          </w:p>
        </w:tc>
      </w:tr>
      <w:tr w:rsidR="00580FF6" w:rsidRPr="00580FF6" w:rsidTr="00E54E3E">
        <w:trPr>
          <w:jc w:val="center"/>
        </w:trPr>
        <w:tc>
          <w:tcPr>
            <w:tcW w:w="3322" w:type="dxa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Медицинские перчатки одноразовые</w:t>
            </w:r>
          </w:p>
        </w:tc>
        <w:tc>
          <w:tcPr>
            <w:tcW w:w="3288" w:type="dxa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пара на каждые 3 часа работы</w:t>
            </w:r>
          </w:p>
        </w:tc>
        <w:tc>
          <w:tcPr>
            <w:tcW w:w="3176" w:type="dxa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Заменить немедленно при нарушении целостности или сильном загрязнении.</w:t>
            </w:r>
          </w:p>
        </w:tc>
      </w:tr>
      <w:tr w:rsidR="00580FF6" w:rsidRPr="00580FF6" w:rsidTr="00E54E3E">
        <w:trPr>
          <w:jc w:val="center"/>
        </w:trPr>
        <w:tc>
          <w:tcPr>
            <w:tcW w:w="3322" w:type="dxa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Раствор натрия хлорида, 0,9%</w:t>
            </w:r>
          </w:p>
        </w:tc>
        <w:tc>
          <w:tcPr>
            <w:tcW w:w="3288" w:type="dxa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л"/>
              </w:smartTagPr>
              <w:r w:rsidRPr="00580FF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0,5 л</w:t>
              </w:r>
            </w:smartTag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76" w:type="dxa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промывания пипеток и палочек</w:t>
            </w:r>
          </w:p>
        </w:tc>
      </w:tr>
      <w:tr w:rsidR="00580FF6" w:rsidRPr="00580FF6" w:rsidTr="00E54E3E">
        <w:trPr>
          <w:jc w:val="center"/>
        </w:trPr>
        <w:tc>
          <w:tcPr>
            <w:tcW w:w="3322" w:type="dxa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Спирт этиловый медицинский, 70,0% </w:t>
            </w:r>
          </w:p>
        </w:tc>
        <w:tc>
          <w:tcPr>
            <w:tcW w:w="3288" w:type="dxa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 гр. на 1 обработку</w:t>
            </w:r>
          </w:p>
        </w:tc>
        <w:tc>
          <w:tcPr>
            <w:tcW w:w="3176" w:type="dxa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обработки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гелевой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центрифуги, автоматических пипеток переменного объёма</w:t>
            </w:r>
          </w:p>
        </w:tc>
      </w:tr>
      <w:tr w:rsidR="00580FF6" w:rsidRPr="00580FF6" w:rsidTr="00E54E3E">
        <w:trPr>
          <w:jc w:val="center"/>
        </w:trPr>
        <w:tc>
          <w:tcPr>
            <w:tcW w:w="3322" w:type="dxa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Дезинфицирующий раствор</w:t>
            </w:r>
          </w:p>
        </w:tc>
        <w:tc>
          <w:tcPr>
            <w:tcW w:w="3288" w:type="dxa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</w:t>
            </w:r>
            <w:proofErr w:type="spellStart"/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-кими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указаниями по приме-нению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средств,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разре-шённых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использованию в РФ и РТ</w:t>
            </w:r>
          </w:p>
        </w:tc>
        <w:tc>
          <w:tcPr>
            <w:tcW w:w="3176" w:type="dxa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дезинфекции биологического материала, лабораторной посуды и рабочего места.</w:t>
            </w:r>
          </w:p>
        </w:tc>
      </w:tr>
      <w:tr w:rsidR="00580FF6" w:rsidRPr="00580FF6" w:rsidTr="00E54E3E">
        <w:trPr>
          <w:jc w:val="center"/>
        </w:trPr>
        <w:tc>
          <w:tcPr>
            <w:tcW w:w="3322" w:type="dxa"/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Наконечники для </w:t>
            </w:r>
            <w:proofErr w:type="spellStart"/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автомати-ческих</w:t>
            </w:r>
            <w:proofErr w:type="spellEnd"/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пипеток переменного объема, одноразовые</w:t>
            </w:r>
          </w:p>
        </w:tc>
        <w:tc>
          <w:tcPr>
            <w:tcW w:w="3288" w:type="dxa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шт. на 1 исследование</w:t>
            </w:r>
          </w:p>
        </w:tc>
        <w:tc>
          <w:tcPr>
            <w:tcW w:w="3176" w:type="dxa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-226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6. Ответственность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Исполнители: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Врач КЛД и фельдшер-лаборант несут ответственность за проведение исследования 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Врач и фельдшер-лаборант должны иметь специальную подготовку по вопросам </w:t>
      </w:r>
      <w:proofErr w:type="spellStart"/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иммуногематологии</w:t>
      </w:r>
      <w:proofErr w:type="spellEnd"/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специализированных циклах усовершенствования на базе учреждений дополнительного профессионального образования, иметь сертификат специалиста, знать нормативную документацию для обеспечения квалифицированного исполнения предписанных обязанностей.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Должностное лицо, несущее ответственность – заведующий клинико-диагностической лабораторией (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экспресс-лабораторией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80FF6" w:rsidRPr="00580FF6" w:rsidRDefault="00580FF6" w:rsidP="00580F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5 - Требования к специалистам для выполнения ПМУ «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Определение 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6"/>
        <w:gridCol w:w="2556"/>
        <w:gridCol w:w="2111"/>
        <w:gridCol w:w="2979"/>
      </w:tblGrid>
      <w:tr w:rsidR="00580FF6" w:rsidRPr="00580FF6" w:rsidTr="00E54E3E">
        <w:trPr>
          <w:jc w:val="center"/>
        </w:trPr>
        <w:tc>
          <w:tcPr>
            <w:tcW w:w="2336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Медицинское учреждение</w:t>
            </w:r>
          </w:p>
        </w:tc>
        <w:tc>
          <w:tcPr>
            <w:tcW w:w="2556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Выполнение ПМУ «Определение 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резус-принадлежности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11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Медицинский персонал</w:t>
            </w:r>
          </w:p>
        </w:tc>
        <w:tc>
          <w:tcPr>
            <w:tcW w:w="2979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Дополнительные требования к медицинскому персоналу</w:t>
            </w:r>
          </w:p>
        </w:tc>
      </w:tr>
      <w:tr w:rsidR="00580FF6" w:rsidRPr="00580FF6" w:rsidTr="00E54E3E">
        <w:trPr>
          <w:jc w:val="center"/>
        </w:trPr>
        <w:tc>
          <w:tcPr>
            <w:tcW w:w="2336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Стационар</w:t>
            </w:r>
          </w:p>
        </w:tc>
        <w:tc>
          <w:tcPr>
            <w:tcW w:w="2556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Централизованное переопределение</w:t>
            </w:r>
          </w:p>
        </w:tc>
        <w:tc>
          <w:tcPr>
            <w:tcW w:w="2111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КЛД или биолог КЛД</w:t>
            </w:r>
          </w:p>
        </w:tc>
        <w:tc>
          <w:tcPr>
            <w:tcW w:w="2979" w:type="dxa"/>
            <w:vMerge w:val="restart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Должны иметь специальную подготовку по вопросам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иммуногематологии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специализированных циклах усовершенствования на базе учреждений дополнительного профессионального 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образования и/или на базе учреждений службы крови РТ не реже одного раза в 5 лет</w:t>
            </w:r>
          </w:p>
        </w:tc>
      </w:tr>
      <w:tr w:rsidR="00580FF6" w:rsidRPr="00580FF6" w:rsidTr="00E54E3E">
        <w:trPr>
          <w:jc w:val="center"/>
        </w:trPr>
        <w:tc>
          <w:tcPr>
            <w:tcW w:w="2336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УЗ</w:t>
            </w:r>
          </w:p>
        </w:tc>
        <w:tc>
          <w:tcPr>
            <w:tcW w:w="2556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амбулаторных пациентов</w:t>
            </w:r>
          </w:p>
        </w:tc>
        <w:tc>
          <w:tcPr>
            <w:tcW w:w="2111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Врач КЛД или биолог КЛД</w:t>
            </w:r>
          </w:p>
        </w:tc>
        <w:tc>
          <w:tcPr>
            <w:tcW w:w="2979" w:type="dxa"/>
            <w:vMerge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80FF6" w:rsidRPr="00580FF6" w:rsidRDefault="00580FF6" w:rsidP="00580FF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Cs w:val="26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6"/>
          <w:lang w:eastAsia="ru-RU"/>
        </w:rPr>
        <w:t>Требования безопасности</w:t>
      </w:r>
    </w:p>
    <w:p w:rsidR="00580FF6" w:rsidRPr="00580FF6" w:rsidRDefault="00580FF6" w:rsidP="00580FF6">
      <w:pPr>
        <w:tabs>
          <w:tab w:val="left" w:pos="1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работе допускаются лица, прошедшие инструктаж по технике безопасности и получившие доступ к самостоятельной работе.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манипуляции ответственным исполнителям проводить в медицинской одежде с использованием индивидуальных средств защиты (медицинские перчатки, защитные очки или щитки). С любыми образцами крови пациента следует обращаться как с потенциальными переносчиками инфекционных заболеваний. </w:t>
      </w:r>
    </w:p>
    <w:p w:rsidR="00580FF6" w:rsidRPr="00580FF6" w:rsidRDefault="00580FF6" w:rsidP="00580FF6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7. Процедуры выполнения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580FF6" w:rsidRPr="00580FF6" w:rsidRDefault="00580FF6" w:rsidP="00580FF6">
      <w:pPr>
        <w:tabs>
          <w:tab w:val="left" w:pos="567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 Подготовительные работы</w:t>
      </w:r>
    </w:p>
    <w:p w:rsidR="00580FF6" w:rsidRPr="00580FF6" w:rsidRDefault="00580FF6" w:rsidP="00580FF6">
      <w:pPr>
        <w:tabs>
          <w:tab w:val="left" w:pos="567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7.1.1 Требования к помещению</w:t>
      </w:r>
    </w:p>
    <w:p w:rsidR="00580FF6" w:rsidRPr="00580FF6" w:rsidRDefault="00580FF6" w:rsidP="00580F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Calibri"/>
          <w:b/>
          <w:bCs/>
          <w:sz w:val="24"/>
          <w:szCs w:val="28"/>
          <w:lang w:eastAsia="ru-RU"/>
        </w:rPr>
        <w:tab/>
      </w:r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выполнения ПМУ </w:t>
      </w:r>
      <w:r w:rsidRPr="00580FF6">
        <w:rPr>
          <w:rFonts w:ascii="Times New Roman" w:eastAsia="Times New Roman" w:hAnsi="Times New Roman" w:cs="Calibri"/>
          <w:bCs/>
          <w:sz w:val="24"/>
          <w:lang w:eastAsia="ru-RU"/>
        </w:rPr>
        <w:t xml:space="preserve">«Определение </w:t>
      </w:r>
      <w:r w:rsidRPr="00580FF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подгрупп и других групп крови меньшего значения А</w:t>
      </w:r>
      <w:proofErr w:type="gramStart"/>
      <w:r w:rsidRPr="00580FF6">
        <w:rPr>
          <w:rFonts w:ascii="Times New Roman" w:eastAsia="Times New Roman" w:hAnsi="Times New Roman" w:cs="Times New Roman"/>
          <w:bCs/>
          <w:sz w:val="24"/>
          <w:szCs w:val="28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, А</w:t>
      </w:r>
      <w:r w:rsidRPr="00580FF6">
        <w:rPr>
          <w:rFonts w:ascii="Times New Roman" w:eastAsia="Times New Roman" w:hAnsi="Times New Roman" w:cs="Times New Roman"/>
          <w:bCs/>
          <w:sz w:val="24"/>
          <w:szCs w:val="28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bCs/>
          <w:sz w:val="24"/>
          <w:szCs w:val="28"/>
          <w:lang w:val="en-US" w:eastAsia="ru-RU"/>
        </w:rPr>
        <w:t>D</w:t>
      </w:r>
      <w:r w:rsidRPr="00580FF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, С, с, Е, е, </w:t>
      </w:r>
      <w:proofErr w:type="spellStart"/>
      <w:r w:rsidRPr="00580FF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>Ке</w:t>
      </w:r>
      <w:r w:rsidRPr="00580FF6">
        <w:rPr>
          <w:rFonts w:ascii="Times New Roman" w:eastAsia="Times New Roman" w:hAnsi="Times New Roman" w:cs="Times New Roman"/>
          <w:bCs/>
          <w:sz w:val="24"/>
          <w:szCs w:val="28"/>
          <w:lang w:val="en-US" w:eastAsia="ru-RU"/>
        </w:rPr>
        <w:t>ll</w:t>
      </w:r>
      <w:proofErr w:type="spellEnd"/>
      <w:r w:rsidRPr="00580FF6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t xml:space="preserve">, </w:t>
      </w:r>
      <w:proofErr w:type="spellStart"/>
      <w:r w:rsidRPr="00580FF6">
        <w:rPr>
          <w:rFonts w:ascii="Times New Roman" w:eastAsia="Times New Roman" w:hAnsi="Times New Roman" w:cs="Times New Roman"/>
          <w:bCs/>
          <w:sz w:val="24"/>
          <w:szCs w:val="28"/>
          <w:lang w:val="en-US" w:eastAsia="ru-RU"/>
        </w:rPr>
        <w:t>Duffi</w:t>
      </w:r>
      <w:proofErr w:type="spellEnd"/>
      <w:r w:rsidRPr="00580FF6">
        <w:rPr>
          <w:rFonts w:ascii="Times New Roman" w:eastAsia="Times New Roman" w:hAnsi="Times New Roman" w:cs="Times New Roman"/>
          <w:bCs/>
          <w:sz w:val="24"/>
          <w:lang w:eastAsia="ru-RU"/>
        </w:rPr>
        <w:t>»</w:t>
      </w:r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должно быть оснащено отдельное место (или специальное помещение), которое оборудуется согласно требованиям приказа от 28 марта 2012 г. N 278н «Об утверждении требований к организациям здравоохранения (структурным подразделениям), осуществляющим заготовку, переработку, хранение и обеспечение безопасности донорской крови и ее компонентов, и перечня оборудования для их оснащения» (приложение № 5 приказа).</w:t>
      </w:r>
    </w:p>
    <w:p w:rsidR="00580FF6" w:rsidRPr="00580FF6" w:rsidRDefault="00580FF6" w:rsidP="00580FF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Иммуногематологические исследования проводить в помещении с естественным освещением, температура воздуха в помещении должна быть в пределах +15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/>
        </w:rPr>
        <w:t>0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С …+25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perscript"/>
          <w:lang w:eastAsia="ru-RU"/>
        </w:rPr>
        <w:t>0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С. Показатели микроклимата фиксировать в «Журнале учёта микроклимата помещения» (приложение 3).</w:t>
      </w:r>
    </w:p>
    <w:p w:rsidR="00580FF6" w:rsidRPr="00580FF6" w:rsidRDefault="00580FF6" w:rsidP="00580FF6">
      <w:pPr>
        <w:keepNext/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7.1.2. Требования к образцам крови.</w:t>
      </w:r>
    </w:p>
    <w:p w:rsidR="00580FF6" w:rsidRPr="00580FF6" w:rsidRDefault="00580FF6" w:rsidP="00580F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Перед процедурой забора крови на исследование у пациента уточнить его фамилию, имя и отчество. </w:t>
      </w:r>
      <w:r w:rsidRPr="00580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Если состояние реципиента не позволяет провести опрос, идентификация проводится путем сверки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</w:t>
      </w:r>
      <w:r w:rsidRPr="00580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медицинской документации.</w:t>
      </w:r>
      <w:r w:rsidRPr="00580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80FF6" w:rsidRPr="00580FF6" w:rsidRDefault="00580FF6" w:rsidP="00580FF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новорожденных детей указывается пол и номер на идентификационном ручном браслете.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новорожденных первых часов жизни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указываются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фамилия и инициалы матери.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Предпочтительнее использовать пробирку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вакутейнер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на которую нанести следующую информацию о пациенте: Ф.И.О., дату забора крови, для стационарных больных - номер медицинской карты. Кровь пациента забрать из вены в количестве 3-5 мл и перенести в подписанную пробирку.</w:t>
      </w:r>
      <w:r w:rsidRPr="00580FF6">
        <w:rPr>
          <w:rFonts w:ascii="Times New Roman" w:eastAsia="Times New Roman" w:hAnsi="Times New Roman" w:cs="Times New Roman"/>
          <w:sz w:val="18"/>
          <w:szCs w:val="20"/>
          <w:lang w:eastAsia="ru-RU"/>
        </w:rPr>
        <w:t xml:space="preserve"> 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Использовать для исследования кровь пациента не более двухдневного срока хранения при t+2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ºС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…+8ºС. 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Arial" w:eastAsia="Times New Roman" w:hAnsi="Arial" w:cs="Times New Roman"/>
          <w:sz w:val="20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Допускается наличие незначительного гемолиза у пациентов с аутоиммунной гемолитической анемией.</w:t>
      </w:r>
    </w:p>
    <w:p w:rsidR="00580FF6" w:rsidRPr="00580FF6" w:rsidRDefault="00580FF6" w:rsidP="00580FF6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Образцы крови, маркировка которых не соответствует требованиям настоящего документа, запрещается </w:t>
      </w:r>
      <w:proofErr w:type="gramStart"/>
      <w:r w:rsidRPr="00580FF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направлять и принимать</w:t>
      </w:r>
      <w:proofErr w:type="gramEnd"/>
      <w:r w:rsidRPr="00580FF6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для исследования в клинико-диагностической лаборатории.</w:t>
      </w:r>
    </w:p>
    <w:p w:rsidR="00580FF6" w:rsidRPr="00580FF6" w:rsidRDefault="00580FF6" w:rsidP="00580FF6">
      <w:pPr>
        <w:tabs>
          <w:tab w:val="left" w:pos="567"/>
          <w:tab w:val="left" w:pos="198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567"/>
          <w:tab w:val="left" w:pos="198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7.1.3.</w:t>
      </w:r>
      <w:r w:rsidRPr="00580FF6">
        <w:rPr>
          <w:rFonts w:ascii="Arial" w:eastAsia="Times New Roman" w:hAnsi="Arial" w:cs="Times New Roman"/>
          <w:b/>
          <w:sz w:val="28"/>
          <w:szCs w:val="28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Требования безопасности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Все манипуляции проводить в медицинской одежде с использованием индивидуальных средств защиты (медицинские перчатки, защитные очки или щитки). С любыми образцами крови пациента следует обращаться как с потенциальными переносчиками инфекционных заболеваний. 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7.1.4  Требования к объемам исследований в зависимости от медицинского учреждения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7.1.4.1 Стационар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поступлении в стационар кровь пациента перед плановой трансфузией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эритроцитсодержащих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компонентов крови должна тестироваться на наличие антигенов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с, Е, е системы Резус. Исследовать в стационаре антиген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системы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Kell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необходимости, т.к. все выпускаемые службой крови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эритроцитсодержащие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компоненты крови не содержат данного антигена ввиду его высокой иммуногенности.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 Методы исследования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right="-86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7.2.1 Определение группы крови перекрёстным методом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Порядок проведения исследования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: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Определение группы крови АВО производить на планшете со смачиваемой поверхностью.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1. Промаркировать планшет, для чего указать Ф.И.О. пациента, кровь которого исследуют, а также надписать специфичность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изогемагглютинирующих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сывороток АВО и стандартных эритроцитов АВО в порядке их нанесения.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2. Стандартные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изогемагглютинирующие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сыворотки АВО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раскапать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два ряда: в первом ряду сыворотки одной серии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(анти-АВ), A (анти-В), B (анти-А), во втором ряду сыворотки другой серии O (анти-АВ), A (анти-В), B (анти-А) по одной большой капле (по 100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) под соответствующими надписями.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3. В третий ряд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раскапать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 одной маленькой капле (10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) стандартных эритроцитов O, A, B под соответствующими надписями. 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4. Из пробирки с исследуемой кровью осторожно взять пипеткой сыворотку крови пациента (100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) и поместить рядом со стандартными эритроцитами АВО, соотношение стандартных эритроцитов и исследуемой сыворотки - 1:10. Этой же пипеткой из пробирки взять исследуемые эритроциты (10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) и поместить рядом со стандартными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изогемагглютинирующими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сыворотками АВО, соотношение исследуемых эритроцитов и стандартных сывороток - 1:10.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5. Каждую каплю исследуемого материала перемешать стеклянной палочкой с соответствующим диагностическим стандартом. Наблюдать за реакцией 5 минут, при постоянном покачивании планшета. После окончания экспозиции в те капли, где имеется агглютинация, добавить по одной капле (50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) раствора натрия хлорида, 0,9%.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Трактовка результатов реакции.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Положительный результат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(+) 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выражается в агглютинации эритроцитов,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агглютинаты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видны невооруженным глазом в виде мелких или крупных красных агрегатов. 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При отрицательном результате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(-) 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капля остаётся равномерно окрашенной в красный цвет, агглютинации в ней не обнаруживается. 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7.2.1.2 Выявление слабых вариантов антигена</w:t>
      </w:r>
      <w:proofErr w:type="gramStart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proofErr w:type="gramEnd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(А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) и </w:t>
      </w:r>
      <w:proofErr w:type="spellStart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экстраагглютинина</w:t>
      </w:r>
      <w:proofErr w:type="spellEnd"/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α (анти-А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слабых вариантов антигена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группах А анти-В и АВ реакция агглютинации со стандартной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изогемагглютинирующей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сывороткой В анти-А наступает после первой минуты,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агглютинаты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мелкие (рисунок 1).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657475"/>
            <wp:effectExtent l="0" t="0" r="9525" b="9525"/>
            <wp:docPr id="8" name="Рисунок 8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19425" cy="2667000"/>
            <wp:effectExtent l="0" t="0" r="9525" b="0"/>
            <wp:docPr id="7" name="Рисунок 7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 – Выявлены слабые варианты антигена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0FF6">
        <w:rPr>
          <w:rFonts w:ascii="Arial" w:eastAsia="Times New Roman" w:hAnsi="Arial" w:cs="Times New Roman"/>
          <w:sz w:val="20"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). Группы крови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экстра агглютинина α (анти-А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антитела) в подгруппах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реакция агглютинации выявляется со стандартными эритроцитами группы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2).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5600" cy="3324225"/>
            <wp:effectExtent l="0" t="0" r="0" b="9525"/>
            <wp:docPr id="6" name="Рисунок 6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3324225"/>
            <wp:effectExtent l="0" t="0" r="0" b="9525"/>
            <wp:docPr id="5" name="Рисунок 5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 xml:space="preserve">   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– Исследуемая кровь содержит анти-А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антитело (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экстраагглютинин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α)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группе крови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группе крови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7.2.1.3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определении группы крови при помощи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цоликлонов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обращать внимание на характер агглютинации с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цоликлонами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анти-АВ и анти-А. С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цоликлоном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анти-А – реакция агглютинации слабее, чем с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цоликлонами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анти-АВ и анти-В,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агглютинаты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мелкие (рисунок 3)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38700" cy="2590800"/>
            <wp:effectExtent l="0" t="0" r="0" b="0"/>
            <wp:docPr id="4" name="Рисунок 4" descr="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3 – Результат исследования группы крови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моноклональными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реагентами. 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 слабый вариант антигена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, группа крови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ри необходимости подтверждения слабого варианта антигена</w:t>
      </w:r>
      <w:proofErr w:type="gramStart"/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</w:t>
      </w:r>
      <w:proofErr w:type="gramEnd"/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(А</w:t>
      </w:r>
      <w:r w:rsidRPr="00580FF6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2</w:t>
      </w:r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) использовать </w:t>
      </w:r>
      <w:proofErr w:type="spellStart"/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цоликлон</w:t>
      </w:r>
      <w:proofErr w:type="spellEnd"/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анти-А</w:t>
      </w:r>
      <w:r w:rsidRPr="00580FF6">
        <w:rPr>
          <w:rFonts w:ascii="Times New Roman" w:eastAsia="Times New Roman" w:hAnsi="Times New Roman" w:cs="Times New Roman"/>
          <w:iCs/>
          <w:sz w:val="24"/>
          <w:szCs w:val="24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(</w:t>
      </w:r>
      <w:proofErr w:type="spellStart"/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лектин</w:t>
      </w:r>
      <w:proofErr w:type="spellEnd"/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сухую смачиваемую поверхность нанести одну большую каплю (100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 анти-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Рядом одну маленькую каплю (20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исследуемых эритроцитов (соотношение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цоликлона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исследуемых эритроцитов 5:1). Перемешать стеклянной палочкой. Наблюдать за реакцией три минуты. 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Трактовка результатов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эритроциты содержат антиген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появится агглютинация. Если нет антигена, то капля останется гомогенно окрашенной (агглютинации нет) (рисунок 4)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1000125</wp:posOffset>
                </wp:positionH>
                <wp:positionV relativeFrom="paragraph">
                  <wp:posOffset>136525</wp:posOffset>
                </wp:positionV>
                <wp:extent cx="474980" cy="260350"/>
                <wp:effectExtent l="5715" t="6350" r="5080" b="0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260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78.75pt;margin-top:10.75pt;width:37.4pt;height:2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" fillcolor="red" stroked="f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79375</wp:posOffset>
            </wp:positionV>
            <wp:extent cx="593725" cy="457200"/>
            <wp:effectExtent l="0" t="0" r="0" b="0"/>
            <wp:wrapNone/>
            <wp:docPr id="11" name="Рисунок 11" descr="img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2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Отрицательный результат 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Положительный результат 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(антиген А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выявлен)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(антиген 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выявлен)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4 - Результаты исследования с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цоликлоном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анти-А</w:t>
      </w:r>
      <w:r w:rsidRPr="00580FF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лектин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580FF6" w:rsidRPr="00580FF6" w:rsidRDefault="00580FF6" w:rsidP="00580FF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right="-86" w:firstLine="708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7.2.2 Определение фенотипа с помощью </w:t>
      </w:r>
      <w:proofErr w:type="spellStart"/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моноклональных</w:t>
      </w:r>
      <w:proofErr w:type="spellEnd"/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реагентов </w:t>
      </w:r>
    </w:p>
    <w:p w:rsidR="00580FF6" w:rsidRPr="00580FF6" w:rsidRDefault="00580FF6" w:rsidP="00580FF6">
      <w:pPr>
        <w:spacing w:after="0" w:line="240" w:lineRule="auto"/>
        <w:ind w:right="-86" w:firstLine="708"/>
        <w:jc w:val="both"/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u w:val="single"/>
          <w:lang w:eastAsia="ru-RU"/>
        </w:rPr>
        <w:t>Проведение исследования</w:t>
      </w:r>
    </w:p>
    <w:p w:rsidR="00580FF6" w:rsidRPr="00580FF6" w:rsidRDefault="00580FF6" w:rsidP="00580FF6">
      <w:pPr>
        <w:spacing w:after="0" w:line="240" w:lineRule="auto"/>
        <w:ind w:right="-86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Подписать планшет: с помощью маркера слева направо нанести обозначения специфичности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моноклональных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реагентов а-С, а-с, а-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D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а-Е, а-е, а-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val="en-US" w:eastAsia="ru-RU"/>
        </w:rPr>
        <w:t>Kell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, а-С</w:t>
      </w:r>
      <w:r w:rsidRPr="00580FF6">
        <w:rPr>
          <w:rFonts w:ascii="Times New Roman" w:eastAsia="Times New Roman" w:hAnsi="Times New Roman" w:cs="Times New Roman"/>
          <w:sz w:val="24"/>
          <w:szCs w:val="28"/>
          <w:vertAlign w:val="superscript"/>
          <w:lang w:val="en-US" w:eastAsia="ru-RU"/>
        </w:rPr>
        <w:t>w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580FF6" w:rsidRPr="00580FF6" w:rsidRDefault="00580FF6" w:rsidP="00580FF6">
      <w:pPr>
        <w:spacing w:after="0" w:line="240" w:lineRule="auto"/>
        <w:ind w:right="-86" w:firstLine="708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На планшет под соответствующими обозначениями с помощью пастеровских или автоматических пипеток нанести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моноклональные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реагенты по 100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(количество рядов соответствует числу тестируемых образцов донорской крови). Р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ядом одну маленькую каплю (10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 исследуемых эритроцитов. Перемешать стеклянной палочкой. Наблюдать за реакцией 3-5 минут (в соответствие с инструкцией по применению).</w:t>
      </w:r>
    </w:p>
    <w:p w:rsidR="00580FF6" w:rsidRPr="00580FF6" w:rsidRDefault="00580FF6" w:rsidP="00580FF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Результат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учитывать по наличию или отсутствию агглютинации. Если антиген присутствует на эритроцитах - агглютинация есть. Если антигена нет - агглютинация отсутствует.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13335</wp:posOffset>
            </wp:positionV>
            <wp:extent cx="593725" cy="457200"/>
            <wp:effectExtent l="0" t="0" r="0" b="0"/>
            <wp:wrapNone/>
            <wp:docPr id="10" name="Рисунок 10" descr="img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29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79375</wp:posOffset>
                </wp:positionV>
                <wp:extent cx="474980" cy="260350"/>
                <wp:effectExtent l="5715" t="1905" r="5080" b="444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980" cy="260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1in;margin-top:6.25pt;width:37.4pt;height:2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" fillcolor="red" stroked="f"/>
            </w:pict>
          </mc:Fallback>
        </mc:AlternateConten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Отрицательный результат 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 xml:space="preserve">  Положительный результат </w:t>
      </w:r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lastRenderedPageBreak/>
        <w:t xml:space="preserve">    Антиген не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выявлен</w:t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Антиген выявлен</w:t>
      </w:r>
      <w:proofErr w:type="gramEnd"/>
    </w:p>
    <w:p w:rsidR="00580FF6" w:rsidRPr="00580FF6" w:rsidRDefault="00580FF6" w:rsidP="00580FF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5 Результаты исследования с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моноклональными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реагентами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(положительные и отрицательные результаты реакции)</w:t>
      </w:r>
    </w:p>
    <w:p w:rsidR="00580FF6" w:rsidRPr="00580FF6" w:rsidRDefault="00580FF6" w:rsidP="00580FF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600" cy="2933700"/>
            <wp:effectExtent l="0" t="0" r="0" b="0"/>
            <wp:docPr id="3" name="Рисунок 3" descr="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6 – Результаты исследования фенотипа системы Резус 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Kell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помощи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моноклональных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реагентов. 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Фенотип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</w:t>
      </w:r>
      <w:proofErr w:type="spellEnd"/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Cw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фенотип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CcDeeK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Cw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фенотип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К-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Cw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+.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7.2.3 </w:t>
      </w:r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Определение фенотипа с помощью </w:t>
      </w:r>
      <w:proofErr w:type="spellStart"/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гелевой</w:t>
      </w:r>
      <w:proofErr w:type="spellEnd"/>
      <w:r w:rsidRPr="00580FF6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методики.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Порядок проведения исследования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исследованием провести макроскопическую оценку диагностической карты. Не использовать карту, если в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микропробирках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наблюдается изменение цвета реагентов, в геле имеются взвешенные пузырьки, наблюдается уменьшение объёма геля или его растрескивание.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содержать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надосадочную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жидкость. Если наблюдается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рассредоточенное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каплеобразование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верхней части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, рекомендуется центрифугировать карты перед использованием. Если капли не оседают карту не использовать.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Приготовить суспензию эритроцитов. Для этого в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центрифужную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пробирку автоматической пипеткой поместить 10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исследуемых эритроцитов. Добавить 0,5 мл разводящего раствора. Карту подписать, а затем вскрыть. Во все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автоматической пипеткой добавить по 10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мкл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приготовленной суспензии эритроцитов. Карту центрифугировать в центрифуге для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гелевых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 (время и скорость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заданы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автоматически).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Трактовка результатов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Интерпретацию результатов исследования начать с просмотра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аутоконтролем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Ctl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Положительные результаты можно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оценить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контрольной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микропробирке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Ctl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получен отрицательный результат. 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контрольной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микропробирке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 положительный результат, то следует повторить исследование после отмывания исследуемых эритроцитов в тёплом (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smartTag w:uri="urn:schemas-microsoft-com:office:smarttags" w:element="metricconverter">
        <w:smartTagPr>
          <w:attr w:name="ProductID" w:val="370C"/>
        </w:smartTagPr>
        <w:r w:rsidRPr="00580FF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37</w:t>
        </w:r>
        <w:r w:rsidRPr="00580FF6">
          <w:rPr>
            <w:rFonts w:ascii="Times New Roman" w:eastAsia="Times New Roman" w:hAnsi="Times New Roman" w:cs="Times New Roman"/>
            <w:sz w:val="24"/>
            <w:szCs w:val="24"/>
            <w:vertAlign w:val="superscript"/>
            <w:lang w:eastAsia="ru-RU"/>
          </w:rPr>
          <w:t>0</w:t>
        </w:r>
        <w:r w:rsidRPr="00580FF6">
          <w:rPr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C</w:t>
        </w:r>
      </w:smartTag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) 0,9% растворе натрия хлорида.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осадок эритроцитов расположен на поверхности геля -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 соответствующий антиген выявлен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осадок эритроцитов расположен на дне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 антиген не выявлен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2).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 выявлении кровяной химеры по отдельным антигенам системы Резус будет выявляться двойная популяция клеток в соответствующих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микропробирках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слой эритроцитов на поверхности и на дне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микропробирки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2019300"/>
            <wp:effectExtent l="0" t="0" r="0" b="0"/>
            <wp:docPr id="2" name="Рисунок 2" descr="DSC_0779+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_0779++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52875" cy="1933575"/>
            <wp:effectExtent l="0" t="0" r="9525" b="9525"/>
            <wp:docPr id="1" name="Рисунок 1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FF6" w:rsidRPr="00580FF6" w:rsidRDefault="00580FF6" w:rsidP="00580FF6">
      <w:pPr>
        <w:spacing w:after="0" w:line="240" w:lineRule="auto"/>
        <w:ind w:firstLine="60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</w:p>
    <w:p w:rsidR="00580FF6" w:rsidRPr="00580FF6" w:rsidRDefault="00580FF6" w:rsidP="00580FF6">
      <w:pPr>
        <w:spacing w:after="0" w:line="240" w:lineRule="auto"/>
        <w:ind w:firstLine="6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4. Результаты исследования фенотипа системы Резус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гелевым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методом</w:t>
      </w:r>
    </w:p>
    <w:p w:rsidR="00580FF6" w:rsidRPr="00580FF6" w:rsidRDefault="00580FF6" w:rsidP="00580FF6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Фенотип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сс</w:t>
      </w:r>
      <w:proofErr w:type="spellEnd"/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EEK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-, фенотип </w:t>
      </w:r>
      <w:r w:rsidRPr="00580FF6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CcDeeK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Cw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-.</w:t>
      </w:r>
    </w:p>
    <w:p w:rsidR="00580FF6" w:rsidRPr="00580FF6" w:rsidRDefault="00580FF6" w:rsidP="00580F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7.3 Регистрация результатов исследования</w:t>
      </w: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ab/>
        <w:t>Результат исследования вноситься в соответствующую графу «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Журнала регистрации результатов иммуногематологического исследования крови» (приложение 2).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При необходимости трансфузии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>эритроцитсодержащего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компонента крови в бланке заказа указать фенотип реципиента (приложение 6).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tabs>
          <w:tab w:val="left" w:pos="-21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8. Действия при обнаружении несоответствий</w:t>
      </w:r>
    </w:p>
    <w:p w:rsidR="00580FF6" w:rsidRPr="00580FF6" w:rsidRDefault="00580FF6" w:rsidP="00580FF6">
      <w:pPr>
        <w:tabs>
          <w:tab w:val="left" w:pos="-21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Существуют категории реципиентов, у которых встречаются затруднения при проведении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 фенотипа групп крови человека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Таблица 7 - Категории пациентов, у которых встречаются затруднения при определение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фенотипа эритроцитов групп крови человека</w:t>
      </w:r>
      <w:proofErr w:type="gramEnd"/>
    </w:p>
    <w:tbl>
      <w:tblPr>
        <w:tblW w:w="102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00"/>
        <w:gridCol w:w="2160"/>
        <w:gridCol w:w="1999"/>
        <w:gridCol w:w="3401"/>
      </w:tblGrid>
      <w:tr w:rsidR="00580FF6" w:rsidRPr="00580FF6" w:rsidTr="00E54E3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Категория пациентов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Индивидуальные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особенности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Характер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затруднения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Способ решения проблемы</w:t>
            </w:r>
          </w:p>
        </w:tc>
      </w:tr>
      <w:tr w:rsidR="00580FF6" w:rsidRPr="00580FF6" w:rsidTr="00E54E3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 категории пациентов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первичного (в отделении УЗ) и централизованного переопределения группы крови  различны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Слабая агглютинация с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цоликлонами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стандартными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изогемагглютинирующими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сыворотками АВО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Использовать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гелевую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методику. 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 необходимости гемотрансфузии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эритроцитсодержащих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компонентов крови образец крови больного направить в специализированную лабораторию службы крови для индивидуального подбора</w:t>
            </w:r>
          </w:p>
        </w:tc>
      </w:tr>
      <w:tr w:rsidR="00580FF6" w:rsidRPr="00580FF6" w:rsidTr="00E54E3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F6" w:rsidRPr="00580FF6" w:rsidRDefault="00580FF6" w:rsidP="00580F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Ослабление активности групповых антигенов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В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F6" w:rsidRPr="00580FF6" w:rsidRDefault="00580FF6" w:rsidP="00580F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Слабо выраженная агглютинация, вероятность пропустить реакцию агглютинации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F6" w:rsidRPr="00580FF6" w:rsidRDefault="00580FF6" w:rsidP="00580F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Использовать различные реактивы в перекрёстном методе или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гелевой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методике</w:t>
            </w:r>
          </w:p>
        </w:tc>
      </w:tr>
      <w:tr w:rsidR="00580FF6" w:rsidRPr="00580FF6" w:rsidTr="00E54E3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F6" w:rsidRPr="00580FF6" w:rsidRDefault="00580FF6" w:rsidP="00580FF6">
            <w:pPr>
              <w:spacing w:before="100" w:beforeAutospacing="1" w:after="100" w:afterAutospacing="1" w:line="240" w:lineRule="auto"/>
              <w:ind w:lef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Ослабление активности или полная утрата групповых антигенов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В вследствие 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приема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цитостатиков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больших доз гормональных препаратов, радиотерапия, химиотерапия 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F6" w:rsidRPr="00580FF6" w:rsidRDefault="00580FF6" w:rsidP="00580F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Слабо выраженная агглютинация или ее отсутствие. Несовпадение результатов исследования, полученных со стандартными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изогемагглютинирующими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сыворотками АВО (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цоликлонами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анти-А, анти-В, анти-АВ) и стандартными эритроцитами АВО.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0FF6" w:rsidRPr="00580FF6" w:rsidRDefault="00580FF6" w:rsidP="00580F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Использовать различные реактивы  в перекрёстном методе или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гелевой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методике.</w:t>
            </w:r>
          </w:p>
          <w:p w:rsidR="00580FF6" w:rsidRPr="00580FF6" w:rsidRDefault="00580FF6" w:rsidP="00580FF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При необходимости гемотрансфузии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эритроцитсодержащих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компонентов крови образец крови больного направить в специализированную лабораторию службы крови для индивидуального подбора</w:t>
            </w:r>
          </w:p>
        </w:tc>
      </w:tr>
      <w:tr w:rsidR="00580FF6" w:rsidRPr="00580FF6" w:rsidTr="00E54E3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Реципиенты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эритроцитсодержащих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компонентов крови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Двойная популяция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 чёткой идентификации антигена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При необходимости гемотрансфузии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эритроцитсодержащих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компонентов крови образец крови больного направить в специализированную лабораторию службы крови для индивидуального подбора</w:t>
            </w:r>
          </w:p>
        </w:tc>
      </w:tr>
      <w:tr w:rsidR="00580FF6" w:rsidRPr="00580FF6" w:rsidTr="00E54E3E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Реципиенты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эритроцитсодержащих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компонентов крови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Панагглютинация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агглютинации со всеми реагентами и собственными эритроцитами 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Отмыть исследуемые эритроциты 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тёплым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=37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С) 0,9% р-ром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NaCl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повторить исследование</w:t>
            </w: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При необходимости гемотрансфузии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>эритроцитсодержащих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4"/>
                <w:szCs w:val="20"/>
                <w:lang w:eastAsia="ru-RU"/>
              </w:rPr>
              <w:t xml:space="preserve"> компонентов крови образец крови больного направить в специализированную лабораторию службы крови для индивидуального подбора</w:t>
            </w:r>
            <w:r w:rsidRPr="00580FF6">
              <w:rPr>
                <w:rFonts w:ascii="Times New Roman" w:eastAsia="Times New Roman" w:hAnsi="Times New Roman" w:cs="Times New Roman"/>
                <w:sz w:val="32"/>
                <w:szCs w:val="24"/>
                <w:lang w:eastAsia="ru-RU"/>
              </w:rPr>
              <w:t xml:space="preserve"> </w:t>
            </w:r>
          </w:p>
        </w:tc>
      </w:tr>
    </w:tbl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sectPr w:rsidR="00580FF6" w:rsidRPr="00580FF6" w:rsidSect="006340E9">
          <w:footerReference w:type="even" r:id="rId15"/>
          <w:footerReference w:type="default" r:id="rId16"/>
          <w:pgSz w:w="11906" w:h="16838" w:code="9"/>
          <w:pgMar w:top="992" w:right="567" w:bottom="1134" w:left="1134" w:header="720" w:footer="720" w:gutter="0"/>
          <w:cols w:space="720"/>
        </w:sect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Приложение 1 (обязательное)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4786"/>
      </w:tblGrid>
      <w:tr w:rsidR="00580FF6" w:rsidRPr="00580FF6" w:rsidTr="00E54E3E">
        <w:tc>
          <w:tcPr>
            <w:tcW w:w="14786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(наименование учреждения здравоохранения)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(наименование 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структурного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подразделенияучреждения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)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ЖУРНАЛ РЕГИСТРАЦИИ ТЕМПЕРАТУРНОГО РЕЖИМА ХОЛОДИЛЬНИКА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8505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Начат «____» ______________ 20___ г.                                                                         Окончен «____» ______________ 20___ г.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</w:tbl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sectPr w:rsidR="00580FF6" w:rsidRPr="00580FF6" w:rsidSect="00331061">
          <w:footerReference w:type="even" r:id="rId17"/>
          <w:footerReference w:type="default" r:id="rId18"/>
          <w:pgSz w:w="16838" w:h="11906" w:orient="landscape" w:code="9"/>
          <w:pgMar w:top="1134" w:right="992" w:bottom="567" w:left="1134" w:header="709" w:footer="709" w:gutter="0"/>
          <w:pgNumType w:start="29"/>
          <w:cols w:space="708"/>
          <w:docGrid w:linePitch="360"/>
        </w:sectPr>
      </w:pPr>
    </w:p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3"/>
        <w:gridCol w:w="2895"/>
        <w:gridCol w:w="3052"/>
        <w:gridCol w:w="8"/>
        <w:gridCol w:w="2880"/>
        <w:gridCol w:w="3060"/>
      </w:tblGrid>
      <w:tr w:rsidR="00580FF6" w:rsidRPr="00580FF6" w:rsidTr="00E54E3E">
        <w:trPr>
          <w:trHeight w:val="401"/>
        </w:trPr>
        <w:tc>
          <w:tcPr>
            <w:tcW w:w="2973" w:type="dxa"/>
            <w:vMerge w:val="restart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>Дата контроля</w:t>
            </w:r>
          </w:p>
        </w:tc>
        <w:tc>
          <w:tcPr>
            <w:tcW w:w="5955" w:type="dxa"/>
            <w:gridSpan w:val="3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Показания термометра</w:t>
            </w:r>
          </w:p>
        </w:tc>
        <w:tc>
          <w:tcPr>
            <w:tcW w:w="2880" w:type="dxa"/>
            <w:vMerge w:val="restart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Подпись ответственного лица</w:t>
            </w:r>
          </w:p>
        </w:tc>
        <w:tc>
          <w:tcPr>
            <w:tcW w:w="3060" w:type="dxa"/>
            <w:vMerge w:val="restart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Принятые меры</w:t>
            </w:r>
          </w:p>
        </w:tc>
      </w:tr>
      <w:tr w:rsidR="00580FF6" w:rsidRPr="00580FF6" w:rsidTr="00E54E3E">
        <w:tc>
          <w:tcPr>
            <w:tcW w:w="2973" w:type="dxa"/>
            <w:vMerge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Утро</w:t>
            </w:r>
          </w:p>
        </w:tc>
        <w:tc>
          <w:tcPr>
            <w:tcW w:w="3060" w:type="dxa"/>
            <w:gridSpan w:val="2"/>
            <w:vAlign w:val="center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Вечер</w:t>
            </w:r>
          </w:p>
        </w:tc>
        <w:tc>
          <w:tcPr>
            <w:tcW w:w="2880" w:type="dxa"/>
            <w:vMerge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  <w:vMerge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2973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95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52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888" w:type="dxa"/>
            <w:gridSpan w:val="2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060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</w:tc>
      </w:tr>
    </w:tbl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0"/>
          <w:szCs w:val="24"/>
          <w:lang w:eastAsia="ru-RU"/>
        </w:rPr>
        <w:sectPr w:rsidR="00580FF6" w:rsidRPr="00580FF6" w:rsidSect="00331061">
          <w:pgSz w:w="16838" w:h="11906" w:orient="landscape" w:code="9"/>
          <w:pgMar w:top="1134" w:right="992" w:bottom="567" w:left="1134" w:header="720" w:footer="720" w:gutter="0"/>
          <w:cols w:space="720"/>
        </w:sectPr>
      </w:pPr>
    </w:p>
    <w:tbl>
      <w:tblPr>
        <w:tblpPr w:leftFromText="180" w:rightFromText="180" w:vertAnchor="page" w:horzAnchor="margin" w:tblpY="160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4786"/>
      </w:tblGrid>
      <w:tr w:rsidR="00580FF6" w:rsidRPr="00580FF6" w:rsidTr="00E54E3E">
        <w:trPr>
          <w:trHeight w:val="8436"/>
        </w:trPr>
        <w:tc>
          <w:tcPr>
            <w:tcW w:w="14786" w:type="dxa"/>
          </w:tcPr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(наименование учреждения здравоохранения)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_______________________________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(наименование структурного подразделения учреждения</w:t>
            </w:r>
            <w:proofErr w:type="gramStart"/>
            <w:r w:rsidRPr="00580FF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ru-RU"/>
              </w:rPr>
              <w:t>0</w:t>
            </w:r>
            <w:proofErr w:type="gramEnd"/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ЖУРНАЛ РЕГИСТРАЦИИ РЕЗУЛЬТАТОВ </w:t>
            </w:r>
            <w:r w:rsidRPr="00580FF6">
              <w:rPr>
                <w:rFonts w:ascii="Times New Roman" w:eastAsia="Times New Roman" w:hAnsi="Times New Roman" w:cs="Times New Roman"/>
                <w:b/>
                <w:sz w:val="32"/>
                <w:szCs w:val="24"/>
                <w:lang w:eastAsia="ru-RU"/>
              </w:rPr>
              <w:t xml:space="preserve"> </w:t>
            </w:r>
            <w:r w:rsidRPr="00580FF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ИММУНОГЕМАТОЛОГИЧЕСКОГО ИССЛЕДОВАНИЯ КРОВИ</w:t>
            </w: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32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Начат «____» ______________ 20___ г.                                                                         Окончен «____» ______________ 20___ г.</w:t>
            </w: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left="7938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tabs>
                <w:tab w:val="center" w:pos="4677"/>
                <w:tab w:val="right" w:pos="9355"/>
              </w:tabs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580FF6" w:rsidRPr="00580FF6" w:rsidRDefault="00580FF6" w:rsidP="00580FF6">
      <w:pPr>
        <w:spacing w:after="0" w:line="240" w:lineRule="auto"/>
        <w:ind w:firstLine="62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 (обязательное)</w:t>
      </w:r>
    </w:p>
    <w:tbl>
      <w:tblPr>
        <w:tblW w:w="1551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780"/>
        <w:gridCol w:w="1942"/>
        <w:gridCol w:w="1133"/>
        <w:gridCol w:w="942"/>
        <w:gridCol w:w="1245"/>
        <w:gridCol w:w="1080"/>
        <w:gridCol w:w="1361"/>
        <w:gridCol w:w="1843"/>
        <w:gridCol w:w="1842"/>
        <w:gridCol w:w="1801"/>
      </w:tblGrid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48" w:type="dxa"/>
            <w:vMerge w:val="restart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lastRenderedPageBreak/>
              <w:t>Дата</w:t>
            </w:r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spellStart"/>
            <w:proofErr w:type="gramStart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централизо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-ванного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исследования</w:t>
            </w:r>
          </w:p>
        </w:tc>
        <w:tc>
          <w:tcPr>
            <w:tcW w:w="780" w:type="dxa"/>
            <w:vMerge w:val="restart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</w:t>
            </w:r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gramStart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</w:t>
            </w:r>
            <w:proofErr w:type="gramEnd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/п</w:t>
            </w:r>
          </w:p>
        </w:tc>
        <w:tc>
          <w:tcPr>
            <w:tcW w:w="1942" w:type="dxa"/>
            <w:vMerge w:val="restart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Ф.И.О. пациента</w:t>
            </w:r>
          </w:p>
        </w:tc>
        <w:tc>
          <w:tcPr>
            <w:tcW w:w="2075" w:type="dxa"/>
            <w:gridSpan w:val="2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Результат</w:t>
            </w:r>
          </w:p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первичного</w:t>
            </w:r>
          </w:p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исследования</w:t>
            </w:r>
          </w:p>
        </w:tc>
        <w:tc>
          <w:tcPr>
            <w:tcW w:w="3686" w:type="dxa"/>
            <w:gridSpan w:val="3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Результат централизованного переопределения</w:t>
            </w:r>
          </w:p>
        </w:tc>
        <w:tc>
          <w:tcPr>
            <w:tcW w:w="1843" w:type="dxa"/>
            <w:vMerge w:val="restart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Результат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скринингового</w:t>
            </w:r>
            <w:proofErr w:type="spellEnd"/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исследования</w:t>
            </w:r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на </w:t>
            </w:r>
            <w:proofErr w:type="spellStart"/>
            <w:proofErr w:type="gramStart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антиэритроцитар-ные</w:t>
            </w:r>
            <w:proofErr w:type="spellEnd"/>
            <w:proofErr w:type="gramEnd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антитела</w:t>
            </w:r>
          </w:p>
        </w:tc>
        <w:tc>
          <w:tcPr>
            <w:tcW w:w="1842" w:type="dxa"/>
            <w:vMerge w:val="restart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proofErr w:type="gramStart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Диагностические стандарты, использованные для централизован-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ного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исследования (наименование, изготовитель, </w:t>
            </w:r>
            <w:proofErr w:type="gramEnd"/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№ серии, срок годности)</w:t>
            </w:r>
          </w:p>
        </w:tc>
        <w:tc>
          <w:tcPr>
            <w:tcW w:w="1801" w:type="dxa"/>
            <w:vMerge w:val="restart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Отделение, направившее образец крови на исследование</w:t>
            </w: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rPr>
          <w:cantSplit/>
          <w:trHeight w:val="1030"/>
        </w:trPr>
        <w:tc>
          <w:tcPr>
            <w:tcW w:w="1548" w:type="dxa"/>
            <w:vMerge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  <w:vMerge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  <w:vMerge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группа</w:t>
            </w:r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крови АВО</w:t>
            </w:r>
          </w:p>
        </w:tc>
        <w:tc>
          <w:tcPr>
            <w:tcW w:w="942" w:type="dxa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резус</w:t>
            </w:r>
          </w:p>
        </w:tc>
        <w:tc>
          <w:tcPr>
            <w:tcW w:w="1245" w:type="dxa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Группа</w:t>
            </w:r>
          </w:p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крови АВО</w:t>
            </w:r>
          </w:p>
        </w:tc>
        <w:tc>
          <w:tcPr>
            <w:tcW w:w="1080" w:type="dxa"/>
            <w:vAlign w:val="center"/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Резус-принадлежность</w:t>
            </w: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Фенотип</w:t>
            </w:r>
          </w:p>
        </w:tc>
        <w:tc>
          <w:tcPr>
            <w:tcW w:w="1843" w:type="dxa"/>
            <w:vMerge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  <w:vMerge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  <w:tr w:rsidR="00580FF6" w:rsidRPr="00580FF6" w:rsidTr="00E54E3E">
        <w:tblPrEx>
          <w:tblCellMar>
            <w:top w:w="0" w:type="dxa"/>
            <w:bottom w:w="0" w:type="dxa"/>
          </w:tblCellMar>
        </w:tblPrEx>
        <w:tc>
          <w:tcPr>
            <w:tcW w:w="1548" w:type="dxa"/>
          </w:tcPr>
          <w:p w:rsidR="00580FF6" w:rsidRPr="00580FF6" w:rsidRDefault="00580FF6" w:rsidP="00580FF6">
            <w:pPr>
              <w:spacing w:after="0" w:line="36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7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13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9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245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080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36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1801" w:type="dxa"/>
          </w:tcPr>
          <w:p w:rsidR="00580FF6" w:rsidRPr="00580FF6" w:rsidRDefault="00580FF6" w:rsidP="00580FF6">
            <w:pPr>
              <w:spacing w:after="0" w:line="240" w:lineRule="auto"/>
              <w:ind w:firstLine="624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</w:tr>
    </w:tbl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Приложение 3 (обязательное)</w:t>
      </w: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_______________________________</w:t>
      </w: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580FF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(наименование медицинского учреждения)</w:t>
      </w: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_______________________________</w:t>
      </w: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</w:pPr>
      <w:r w:rsidRPr="00580FF6">
        <w:rPr>
          <w:rFonts w:ascii="Times New Roman" w:eastAsia="Times New Roman" w:hAnsi="Times New Roman" w:cs="Times New Roman"/>
          <w:iCs/>
          <w:sz w:val="20"/>
          <w:szCs w:val="20"/>
          <w:lang w:eastAsia="ru-RU"/>
        </w:rPr>
        <w:t>(наименование структурного подразделения учреждения)</w:t>
      </w: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 xml:space="preserve">ЖУРНАЛ </w:t>
      </w: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 xml:space="preserve">учёта микроклимата помещения </w:t>
      </w: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</w:t>
      </w:r>
    </w:p>
    <w:p w:rsidR="00580FF6" w:rsidRPr="00580FF6" w:rsidRDefault="00580FF6" w:rsidP="00580FF6">
      <w:pPr>
        <w:tabs>
          <w:tab w:val="center" w:pos="4677"/>
          <w:tab w:val="right" w:pos="9355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Начат «____» ______________ 201___ г.         </w:t>
      </w: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Окончен«____»______________201__г.</w:t>
      </w: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ind w:left="9356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ahoma" w:eastAsia="Times New Roman" w:hAnsi="Tahoma" w:cs="Tahoma"/>
          <w:color w:val="111111"/>
          <w:sz w:val="21"/>
          <w:szCs w:val="21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ahoma" w:eastAsia="Times New Roman" w:hAnsi="Tahoma" w:cs="Tahoma"/>
          <w:color w:val="111111"/>
          <w:sz w:val="21"/>
          <w:szCs w:val="21"/>
          <w:lang w:eastAsia="ru-RU"/>
        </w:rPr>
      </w:pPr>
    </w:p>
    <w:p w:rsidR="00580FF6" w:rsidRPr="00580FF6" w:rsidRDefault="00580FF6" w:rsidP="00580FF6">
      <w:pPr>
        <w:tabs>
          <w:tab w:val="right" w:pos="0"/>
          <w:tab w:val="center" w:pos="4677"/>
        </w:tabs>
        <w:spacing w:after="0" w:line="240" w:lineRule="auto"/>
        <w:jc w:val="both"/>
        <w:rPr>
          <w:rFonts w:ascii="Tahoma" w:eastAsia="Times New Roman" w:hAnsi="Tahoma" w:cs="Tahoma"/>
          <w:color w:val="111111"/>
          <w:sz w:val="21"/>
          <w:szCs w:val="21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1"/>
        <w:gridCol w:w="3455"/>
        <w:gridCol w:w="3733"/>
        <w:gridCol w:w="2677"/>
        <w:gridCol w:w="2992"/>
      </w:tblGrid>
      <w:tr w:rsidR="00580FF6" w:rsidRPr="00580FF6" w:rsidTr="00E54E3E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lastRenderedPageBreak/>
              <w:t>Дата и время записи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  <w:t>Влажность воздуха в помещении (показание гигрометра психометрического)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Относительная влажность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580FF6" w:rsidRPr="00580FF6" w:rsidRDefault="00580FF6" w:rsidP="00580FF6">
            <w:pPr>
              <w:spacing w:before="180" w:after="180" w:line="34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Подпись ответственного лица</w:t>
            </w: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Показание сухого термометра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Показание влажного термометра</w:t>
            </w:r>
          </w:p>
        </w:tc>
        <w:tc>
          <w:tcPr>
            <w:tcW w:w="0" w:type="auto"/>
            <w:vMerge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rPr>
          <w:jc w:val="center"/>
        </w:trPr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tabs>
                <w:tab w:val="right" w:pos="0"/>
                <w:tab w:val="center" w:pos="4677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</w:p>
        </w:tc>
      </w:tr>
    </w:tbl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580FF6" w:rsidRPr="00580FF6" w:rsidSect="00331061">
          <w:pgSz w:w="16838" w:h="11906" w:orient="landscape" w:code="9"/>
          <w:pgMar w:top="1134" w:right="992" w:bottom="567" w:left="1134" w:header="720" w:footer="720" w:gutter="0"/>
          <w:cols w:space="720"/>
        </w:sect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Приложение 4 (обязательное)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 в КДЛ УЗ (ОПК, КТТ)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иммуногематологическое исследование крови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Ф.И.О. пациента</w:t>
      </w:r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____________________________________________________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рождения____________________№ медицинской карты_______________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(отделение)</w:t>
      </w:r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 первичного определения, </w:t>
      </w:r>
      <w:proofErr w:type="gramStart"/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полученное</w:t>
      </w:r>
      <w:proofErr w:type="gramEnd"/>
      <w:r w:rsidRPr="00580F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отделении УЗ: 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159"/>
        <w:gridCol w:w="3155"/>
      </w:tblGrid>
      <w:tr w:rsidR="00580FF6" w:rsidRPr="00580FF6" w:rsidTr="00E54E3E">
        <w:trPr>
          <w:trHeight w:val="277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Группа крови АВО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80FF6" w:rsidRPr="00580FF6" w:rsidTr="00E54E3E">
        <w:trPr>
          <w:trHeight w:val="290"/>
        </w:trPr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Резус – принадлежность</w:t>
            </w:r>
          </w:p>
        </w:tc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Rh</w:t>
            </w: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bscript"/>
                <w:lang w:val="en-US"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(D)</w:t>
            </w:r>
          </w:p>
        </w:tc>
      </w:tr>
    </w:tbl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Использованы диагностические стандарты:</w:t>
      </w:r>
    </w:p>
    <w:p w:rsidR="00580FF6" w:rsidRPr="00580FF6" w:rsidRDefault="00580FF6" w:rsidP="00580FF6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Цоликлоны</w:t>
      </w:r>
      <w:proofErr w:type="spellEnd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следующих серий: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Анти-</w:t>
      </w:r>
      <w:proofErr w:type="spellStart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А____________годен</w:t>
      </w:r>
      <w:proofErr w:type="spellEnd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до_________________ 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Анти-</w:t>
      </w:r>
      <w:proofErr w:type="spellStart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В____________годен</w:t>
      </w:r>
      <w:proofErr w:type="spellEnd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до_________________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Анти-</w:t>
      </w:r>
      <w:proofErr w:type="spellStart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АВ____________годен</w:t>
      </w:r>
      <w:proofErr w:type="spellEnd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до_________________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proofErr w:type="spellStart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Цоликлон</w:t>
      </w:r>
      <w:proofErr w:type="spellEnd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анти-</w:t>
      </w:r>
      <w:proofErr w:type="gramStart"/>
      <w:r w:rsidRPr="00580F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proofErr w:type="gramEnd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Супер 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сериия</w:t>
      </w:r>
      <w:proofErr w:type="spellEnd"/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________________годен до_______________</w:t>
      </w: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исследования_____________ Подпись врача_____________________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централизованного переопределения: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186"/>
        <w:gridCol w:w="4005"/>
      </w:tblGrid>
      <w:tr w:rsidR="00580FF6" w:rsidRPr="00580FF6" w:rsidTr="00E54E3E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Группа крови АВО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580FF6" w:rsidRPr="00580FF6" w:rsidTr="00E54E3E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Резус – принадлежность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Rh</w:t>
            </w: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vertAlign w:val="subscript"/>
                <w:lang w:val="en-US" w:eastAsia="ru-RU"/>
              </w:rPr>
              <w:t>0</w:t>
            </w: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(D)</w:t>
            </w:r>
          </w:p>
        </w:tc>
      </w:tr>
      <w:tr w:rsidR="00580FF6" w:rsidRPr="00580FF6" w:rsidTr="00E54E3E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Фенотип 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C      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c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 xml:space="preserve">       D        E      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  <w:t>e</w:t>
            </w:r>
            <w:proofErr w:type="spellEnd"/>
          </w:p>
        </w:tc>
      </w:tr>
      <w:tr w:rsidR="00580FF6" w:rsidRPr="00580FF6" w:rsidTr="00E54E3E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Антиэритроцитарные антитела 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FF6" w:rsidRPr="00580FF6" w:rsidRDefault="00580FF6" w:rsidP="00580F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ind w:firstLine="6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__________________ Подпись врача ____________________</w:t>
      </w:r>
    </w:p>
    <w:p w:rsidR="00580FF6" w:rsidRPr="00580FF6" w:rsidRDefault="00580FF6" w:rsidP="00580FF6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 пробирка с образцом крови должна быть промаркирована (Ф.И.О. пациента, дата взятия крови, №</w:t>
      </w:r>
      <w:r w:rsidRPr="00580FF6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медицинской карты)</w:t>
      </w:r>
    </w:p>
    <w:p w:rsidR="00580FF6" w:rsidRPr="00580FF6" w:rsidRDefault="00580FF6" w:rsidP="00580FF6">
      <w:pPr>
        <w:tabs>
          <w:tab w:val="left" w:pos="84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580FF6" w:rsidRPr="00580FF6" w:rsidSect="00331061">
          <w:pgSz w:w="11906" w:h="16838" w:code="9"/>
          <w:pgMar w:top="992" w:right="567" w:bottom="1134" w:left="1134" w:header="720" w:footer="720" w:gutter="0"/>
          <w:cols w:space="720"/>
        </w:sectPr>
      </w:pPr>
    </w:p>
    <w:p w:rsidR="00580FF6" w:rsidRPr="00580FF6" w:rsidRDefault="00580FF6" w:rsidP="00580FF6">
      <w:pPr>
        <w:keepNext/>
        <w:spacing w:before="240" w:after="60" w:line="240" w:lineRule="auto"/>
        <w:ind w:firstLine="624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  <w:lastRenderedPageBreak/>
        <w:t>Приложение 5 (обязательное)</w:t>
      </w:r>
    </w:p>
    <w:p w:rsidR="00580FF6" w:rsidRPr="00580FF6" w:rsidRDefault="00580FF6" w:rsidP="00580FF6">
      <w:pPr>
        <w:keepNext/>
        <w:spacing w:before="240" w:after="60" w:line="240" w:lineRule="auto"/>
        <w:ind w:firstLine="624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Направление в РЦК (ОПК)</w:t>
      </w:r>
    </w:p>
    <w:p w:rsidR="00580FF6" w:rsidRPr="00580FF6" w:rsidRDefault="00580FF6" w:rsidP="00580FF6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 определение </w:t>
      </w:r>
      <w:proofErr w:type="gramStart"/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групповой</w:t>
      </w:r>
      <w:proofErr w:type="gramEnd"/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резус–принадлежности, </w:t>
      </w:r>
    </w:p>
    <w:p w:rsidR="00580FF6" w:rsidRPr="00580FF6" w:rsidRDefault="00580FF6" w:rsidP="00580FF6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индивидуальный подбор </w:t>
      </w:r>
    </w:p>
    <w:p w:rsidR="00580FF6" w:rsidRPr="00580FF6" w:rsidRDefault="00580FF6" w:rsidP="00580FF6">
      <w:pPr>
        <w:spacing w:after="0" w:line="240" w:lineRule="auto"/>
        <w:ind w:firstLine="600"/>
        <w:jc w:val="center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(</w:t>
      </w:r>
      <w:r w:rsidRPr="00580FF6">
        <w:rPr>
          <w:rFonts w:ascii="Times New Roman" w:eastAsia="Times New Roman" w:hAnsi="Times New Roman" w:cs="Times New Roman"/>
          <w:bCs/>
          <w:szCs w:val="24"/>
          <w:lang w:eastAsia="ru-RU"/>
        </w:rPr>
        <w:t>нужное подчеркнуть)</w:t>
      </w:r>
      <w:r w:rsidRPr="00580FF6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 xml:space="preserve"> </w:t>
      </w:r>
    </w:p>
    <w:p w:rsidR="00580FF6" w:rsidRPr="00580FF6" w:rsidRDefault="00580FF6" w:rsidP="00580FF6">
      <w:pPr>
        <w:spacing w:before="240" w:after="60" w:line="36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Наименование ЛПУ___________________________отделение_______________________________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Ф.И.О. врача, направившего образец крови ____________________________________________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Контактный телефон_________________________________________________________________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Ф.И.О. пациента_____________________________________________________________________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и год рождения_______________ № медицинской карты 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Диагноз: ____________________________________________________________________________</w:t>
      </w:r>
    </w:p>
    <w:p w:rsidR="00580FF6" w:rsidRPr="00580FF6" w:rsidRDefault="00580FF6" w:rsidP="00580F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Трансфузионный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анамнез (кол-во трансфузий и реакции на них) _______________________      _____________________________________________________________________________________</w:t>
      </w:r>
    </w:p>
    <w:p w:rsidR="00580FF6" w:rsidRPr="00580FF6" w:rsidRDefault="00580FF6" w:rsidP="00580F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</w:t>
      </w:r>
    </w:p>
    <w:p w:rsidR="00580FF6" w:rsidRPr="00580FF6" w:rsidRDefault="00580FF6" w:rsidP="00580FF6">
      <w:pPr>
        <w:spacing w:before="240" w:after="60" w:line="360" w:lineRule="auto"/>
        <w:jc w:val="both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Акушерский анамнез (кол-во беременностей, кол-во родов, ГБН детей, выкидыши, мертворождения, аборты _______________________________________________________________</w:t>
      </w:r>
      <w:proofErr w:type="gramEnd"/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иммуногематологического исследования крови, полученные в ЛПУ:</w:t>
      </w:r>
    </w:p>
    <w:p w:rsidR="00580FF6" w:rsidRPr="00580FF6" w:rsidRDefault="00580FF6" w:rsidP="00580F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крови по АВО __________________________________</w:t>
      </w:r>
    </w:p>
    <w:p w:rsidR="00580FF6" w:rsidRPr="00580FF6" w:rsidRDefault="00580FF6" w:rsidP="00580F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Резус – принадлежность ________________________________</w:t>
      </w:r>
    </w:p>
    <w:p w:rsidR="00580FF6" w:rsidRPr="00580FF6" w:rsidRDefault="00580FF6" w:rsidP="00580F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Фенотип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   </w:t>
      </w:r>
      <w:r w:rsidRPr="00580FF6">
        <w:rPr>
          <w:rFonts w:ascii="Times New Roman" w:eastAsia="Times New Roman" w:hAnsi="Times New Roman" w:cs="Times New Roman"/>
          <w:sz w:val="24"/>
          <w:szCs w:val="24"/>
          <w:u w:val="single"/>
          <w:lang w:val="de-DE" w:eastAsia="ru-RU"/>
        </w:rPr>
        <w:t xml:space="preserve">C         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u w:val="single"/>
          <w:lang w:val="de-DE" w:eastAsia="ru-RU"/>
        </w:rPr>
        <w:t>c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u w:val="single"/>
          <w:lang w:val="de-DE" w:eastAsia="ru-RU"/>
        </w:rPr>
        <w:t xml:space="preserve">         D           E        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u w:val="single"/>
          <w:lang w:val="de-DE" w:eastAsia="ru-RU"/>
        </w:rPr>
        <w:t>e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u w:val="single"/>
          <w:lang w:val="de-DE" w:eastAsia="ru-RU"/>
        </w:rPr>
        <w:t xml:space="preserve">________     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de-DE" w:eastAsia="ru-RU"/>
        </w:rPr>
        <w:t xml:space="preserve"> </w:t>
      </w:r>
    </w:p>
    <w:p w:rsidR="00580FF6" w:rsidRPr="00580FF6" w:rsidRDefault="00580FF6" w:rsidP="00580FF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антиэритроцитарных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аллоантител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Наименование компонентов крови необходимых для трансфузии____________________________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</w:t>
      </w:r>
      <w:r w:rsidRPr="00580F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_____</w:t>
      </w: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:rsidR="00580FF6" w:rsidRPr="00580FF6" w:rsidRDefault="00580FF6" w:rsidP="00580FF6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Дата________________________________ Подпись врача____________________________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Примечание: пробирка с образцом крови должна быть промаркирована (Ф.И.О. пациента, дата взятия крови, № медицинской карты).</w:t>
      </w: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Приложение 6 (обязательное)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БЛАНК ЗАКАЗА КОМПОНЕНТА КРОВИ</w:t>
      </w:r>
    </w:p>
    <w:p w:rsidR="00580FF6" w:rsidRPr="00580FF6" w:rsidRDefault="00580FF6" w:rsidP="00580F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80FF6" w:rsidRPr="00580FF6" w:rsidRDefault="00580FF6" w:rsidP="00580FF6">
      <w:pPr>
        <w:spacing w:before="240" w:after="60" w:line="240" w:lineRule="auto"/>
        <w:jc w:val="both"/>
        <w:outlineLvl w:val="4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Наименование УЗ_________________________________ отделение___________________________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Ф.И.О. врача, заказавшего компонент крови____________________________________________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Контактный телефон врача___________________________________________________________</w:t>
      </w:r>
    </w:p>
    <w:p w:rsidR="00580FF6" w:rsidRPr="00580FF6" w:rsidRDefault="00580FF6" w:rsidP="00580FF6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Для экстренной, плановой трансфузии, для пополнения неснижаемого запаса компонентов </w:t>
      </w:r>
      <w:r w:rsidRPr="00580FF6">
        <w:rPr>
          <w:rFonts w:ascii="Times New Roman" w:eastAsia="Times New Roman" w:hAnsi="Times New Roman" w:cs="Times New Roman"/>
          <w:bCs/>
          <w:sz w:val="28"/>
          <w:szCs w:val="24"/>
          <w:u w:val="single"/>
          <w:vertAlign w:val="superscript"/>
          <w:lang w:eastAsia="ru-RU"/>
        </w:rPr>
        <w:t>(</w:t>
      </w:r>
      <w:proofErr w:type="gramStart"/>
      <w:r w:rsidRPr="00580FF6">
        <w:rPr>
          <w:rFonts w:ascii="Times New Roman" w:eastAsia="Times New Roman" w:hAnsi="Times New Roman" w:cs="Times New Roman"/>
          <w:bCs/>
          <w:sz w:val="28"/>
          <w:szCs w:val="24"/>
          <w:u w:val="single"/>
          <w:vertAlign w:val="superscript"/>
          <w:lang w:eastAsia="ru-RU"/>
        </w:rPr>
        <w:t>нужное</w:t>
      </w:r>
      <w:proofErr w:type="gramEnd"/>
      <w:r w:rsidRPr="00580FF6">
        <w:rPr>
          <w:rFonts w:ascii="Times New Roman" w:eastAsia="Times New Roman" w:hAnsi="Times New Roman" w:cs="Times New Roman"/>
          <w:bCs/>
          <w:sz w:val="28"/>
          <w:szCs w:val="24"/>
          <w:u w:val="single"/>
          <w:vertAlign w:val="superscript"/>
          <w:lang w:eastAsia="ru-RU"/>
        </w:rPr>
        <w:t xml:space="preserve"> подчеркнуть)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 экстренных и плановых больных Ф.И.О.___________________________________________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Диагноз</w:t>
      </w:r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_____________________________________________________________________________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1795"/>
        <w:gridCol w:w="1006"/>
        <w:gridCol w:w="2001"/>
        <w:gridCol w:w="2735"/>
        <w:gridCol w:w="1343"/>
      </w:tblGrid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№№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компонента крови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Группа крови по АВО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Резус-принадлежность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Фенотип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эритроцитсодержащего</w:t>
            </w:r>
            <w:proofErr w:type="spellEnd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компонента крови</w:t>
            </w: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Кол-во </w:t>
            </w:r>
            <w:proofErr w:type="spellStart"/>
            <w:r w:rsidRPr="00580F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гемаконов</w:t>
            </w:r>
            <w:proofErr w:type="spellEnd"/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FF6" w:rsidRPr="00580FF6" w:rsidTr="00E54E3E"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80FF6" w:rsidRPr="00580FF6" w:rsidRDefault="00580FF6" w:rsidP="00580FF6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Подпись врача, заказавшего компонент крови_____________________________________________</w:t>
      </w:r>
    </w:p>
    <w:p w:rsidR="00580FF6" w:rsidRPr="00580FF6" w:rsidRDefault="00580FF6" w:rsidP="00580FF6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«________»___________________201____г.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об исполнении (№ накладной на выдачу)__________________________________________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</w:t>
      </w:r>
    </w:p>
    <w:p w:rsidR="00580FF6" w:rsidRPr="00580FF6" w:rsidRDefault="00580FF6" w:rsidP="00580FF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 и подпись дежурного экспедитора РЦК_____________________________________________</w:t>
      </w:r>
    </w:p>
    <w:p w:rsidR="00580FF6" w:rsidRPr="00580FF6" w:rsidRDefault="00580FF6" w:rsidP="00580FF6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«________»___________________201____г. Время ________</w:t>
      </w:r>
      <w:proofErr w:type="spell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proofErr w:type="gramStart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</w:t>
      </w:r>
      <w:proofErr w:type="spellEnd"/>
      <w:r w:rsidRPr="00580F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F7F00" w:rsidRDefault="00EF7F00">
      <w:bookmarkStart w:id="0" w:name="_GoBack"/>
      <w:bookmarkEnd w:id="0"/>
    </w:p>
    <w:sectPr w:rsidR="00EF7F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580FF6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1410" w:rsidRDefault="00580FF6">
    <w:pPr>
      <w:pStyle w:val="af6"/>
      <w:ind w:right="360"/>
    </w:pPr>
  </w:p>
  <w:p w:rsidR="00221410" w:rsidRDefault="00580FF6"/>
  <w:p w:rsidR="00221410" w:rsidRDefault="00580FF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580FF6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1</w:t>
    </w:r>
    <w:r>
      <w:rPr>
        <w:rStyle w:val="af8"/>
      </w:rPr>
      <w:fldChar w:fldCharType="end"/>
    </w:r>
  </w:p>
  <w:p w:rsidR="00221410" w:rsidRDefault="00580FF6">
    <w:pPr>
      <w:pStyle w:val="af6"/>
      <w:ind w:right="360"/>
    </w:pPr>
  </w:p>
  <w:p w:rsidR="00221410" w:rsidRDefault="00580FF6"/>
  <w:p w:rsidR="00221410" w:rsidRDefault="00580FF6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580FF6" w:rsidP="006C6C55">
    <w:pPr>
      <w:pStyle w:val="af6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end"/>
    </w:r>
  </w:p>
  <w:p w:rsidR="00221410" w:rsidRDefault="00580FF6" w:rsidP="006C6C55">
    <w:pPr>
      <w:pStyle w:val="af6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410" w:rsidRDefault="00580FF6" w:rsidP="006C6C55">
    <w:pPr>
      <w:pStyle w:val="af6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F6BCE"/>
    <w:multiLevelType w:val="multilevel"/>
    <w:tmpl w:val="BFBC4520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b w:val="0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Calibri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alibri" w:hint="default"/>
        <w:b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b w:val="0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alibri" w:hint="default"/>
        <w:b w:val="0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b w:val="0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Calibri" w:hint="default"/>
        <w:b w:val="0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alibri" w:hint="default"/>
        <w:b w:val="0"/>
        <w:sz w:val="24"/>
      </w:rPr>
    </w:lvl>
  </w:abstractNum>
  <w:abstractNum w:abstractNumId="1">
    <w:nsid w:val="0D6B701E"/>
    <w:multiLevelType w:val="hybridMultilevel"/>
    <w:tmpl w:val="0D1433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6224A8"/>
    <w:multiLevelType w:val="hybridMultilevel"/>
    <w:tmpl w:val="1A126F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534C8"/>
    <w:multiLevelType w:val="multilevel"/>
    <w:tmpl w:val="364A21A6"/>
    <w:lvl w:ilvl="0">
      <w:start w:val="6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1B1B0330"/>
    <w:multiLevelType w:val="hybridMultilevel"/>
    <w:tmpl w:val="DB0C09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D75EA8"/>
    <w:multiLevelType w:val="hybridMultilevel"/>
    <w:tmpl w:val="BA2EED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A2B1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E81B3B"/>
    <w:multiLevelType w:val="multilevel"/>
    <w:tmpl w:val="7DAEE57E"/>
    <w:lvl w:ilvl="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96" w:hanging="1800"/>
      </w:pPr>
      <w:rPr>
        <w:rFonts w:hint="default"/>
      </w:rPr>
    </w:lvl>
  </w:abstractNum>
  <w:abstractNum w:abstractNumId="7">
    <w:nsid w:val="375A3727"/>
    <w:multiLevelType w:val="hybridMultilevel"/>
    <w:tmpl w:val="BD829F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341DF"/>
    <w:multiLevelType w:val="hybridMultilevel"/>
    <w:tmpl w:val="F4A89040"/>
    <w:lvl w:ilvl="0" w:tplc="6400E0A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>
    <w:nsid w:val="3BCC3000"/>
    <w:multiLevelType w:val="multilevel"/>
    <w:tmpl w:val="452E468E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5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3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960" w:hanging="1800"/>
      </w:pPr>
      <w:rPr>
        <w:rFonts w:hint="default"/>
      </w:rPr>
    </w:lvl>
  </w:abstractNum>
  <w:abstractNum w:abstractNumId="10">
    <w:nsid w:val="3C5C4977"/>
    <w:multiLevelType w:val="hybridMultilevel"/>
    <w:tmpl w:val="8C0AC6C6"/>
    <w:lvl w:ilvl="0" w:tplc="6400E0A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1">
    <w:nsid w:val="3E7D7F81"/>
    <w:multiLevelType w:val="hybridMultilevel"/>
    <w:tmpl w:val="EBD0454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C2ED7"/>
    <w:multiLevelType w:val="hybridMultilevel"/>
    <w:tmpl w:val="6F1A970A"/>
    <w:lvl w:ilvl="0" w:tplc="C4F0C9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9927B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433A81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80A4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518CF9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6B4A61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EE6B8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72449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69C1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3">
    <w:nsid w:val="4D3F1C9C"/>
    <w:multiLevelType w:val="hybridMultilevel"/>
    <w:tmpl w:val="ABCC2DAC"/>
    <w:lvl w:ilvl="0" w:tplc="B386A168">
      <w:start w:val="1"/>
      <w:numFmt w:val="decimal"/>
      <w:lvlText w:val="%1."/>
      <w:lvlJc w:val="left"/>
      <w:pPr>
        <w:ind w:left="7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460" w:hanging="360"/>
      </w:pPr>
    </w:lvl>
    <w:lvl w:ilvl="2" w:tplc="0419001B" w:tentative="1">
      <w:start w:val="1"/>
      <w:numFmt w:val="lowerRoman"/>
      <w:lvlText w:val="%3."/>
      <w:lvlJc w:val="right"/>
      <w:pPr>
        <w:ind w:left="9180" w:hanging="180"/>
      </w:pPr>
    </w:lvl>
    <w:lvl w:ilvl="3" w:tplc="0419000F" w:tentative="1">
      <w:start w:val="1"/>
      <w:numFmt w:val="decimal"/>
      <w:lvlText w:val="%4."/>
      <w:lvlJc w:val="left"/>
      <w:pPr>
        <w:ind w:left="9900" w:hanging="360"/>
      </w:pPr>
    </w:lvl>
    <w:lvl w:ilvl="4" w:tplc="04190019" w:tentative="1">
      <w:start w:val="1"/>
      <w:numFmt w:val="lowerLetter"/>
      <w:lvlText w:val="%5."/>
      <w:lvlJc w:val="left"/>
      <w:pPr>
        <w:ind w:left="10620" w:hanging="360"/>
      </w:pPr>
    </w:lvl>
    <w:lvl w:ilvl="5" w:tplc="0419001B" w:tentative="1">
      <w:start w:val="1"/>
      <w:numFmt w:val="lowerRoman"/>
      <w:lvlText w:val="%6."/>
      <w:lvlJc w:val="right"/>
      <w:pPr>
        <w:ind w:left="11340" w:hanging="180"/>
      </w:pPr>
    </w:lvl>
    <w:lvl w:ilvl="6" w:tplc="0419000F" w:tentative="1">
      <w:start w:val="1"/>
      <w:numFmt w:val="decimal"/>
      <w:lvlText w:val="%7."/>
      <w:lvlJc w:val="left"/>
      <w:pPr>
        <w:ind w:left="12060" w:hanging="360"/>
      </w:pPr>
    </w:lvl>
    <w:lvl w:ilvl="7" w:tplc="04190019" w:tentative="1">
      <w:start w:val="1"/>
      <w:numFmt w:val="lowerLetter"/>
      <w:lvlText w:val="%8."/>
      <w:lvlJc w:val="left"/>
      <w:pPr>
        <w:ind w:left="12780" w:hanging="360"/>
      </w:pPr>
    </w:lvl>
    <w:lvl w:ilvl="8" w:tplc="0419001B" w:tentative="1">
      <w:start w:val="1"/>
      <w:numFmt w:val="lowerRoman"/>
      <w:lvlText w:val="%9."/>
      <w:lvlJc w:val="right"/>
      <w:pPr>
        <w:ind w:left="13500" w:hanging="180"/>
      </w:pPr>
    </w:lvl>
  </w:abstractNum>
  <w:abstractNum w:abstractNumId="14">
    <w:nsid w:val="4D9B0ACC"/>
    <w:multiLevelType w:val="hybridMultilevel"/>
    <w:tmpl w:val="DB4EE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1F7F5C"/>
    <w:multiLevelType w:val="hybridMultilevel"/>
    <w:tmpl w:val="D95647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25815"/>
    <w:multiLevelType w:val="hybridMultilevel"/>
    <w:tmpl w:val="A83A3EFC"/>
    <w:lvl w:ilvl="0" w:tplc="D80A9F5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3F42E3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5C856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BA0DB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0AAEAB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2B0A1B6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9F0434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D86FD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89E994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52746668"/>
    <w:multiLevelType w:val="hybridMultilevel"/>
    <w:tmpl w:val="3ED25988"/>
    <w:lvl w:ilvl="0" w:tplc="9C201A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63524A"/>
    <w:multiLevelType w:val="hybridMultilevel"/>
    <w:tmpl w:val="8C0AC6C6"/>
    <w:lvl w:ilvl="0" w:tplc="6400E0A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9">
    <w:nsid w:val="5F726A3B"/>
    <w:multiLevelType w:val="multilevel"/>
    <w:tmpl w:val="E8A81000"/>
    <w:lvl w:ilvl="0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64" w:hanging="540"/>
      </w:pPr>
      <w:rPr>
        <w:rFonts w:cs="Arial" w:hint="default"/>
      </w:rPr>
    </w:lvl>
    <w:lvl w:ilvl="2">
      <w:start w:val="2"/>
      <w:numFmt w:val="decimal"/>
      <w:isLgl/>
      <w:lvlText w:val="%1.%2.%3"/>
      <w:lvlJc w:val="left"/>
      <w:pPr>
        <w:ind w:left="1344" w:hanging="720"/>
      </w:pPr>
      <w:rPr>
        <w:rFonts w:cs="Arial" w:hint="default"/>
      </w:rPr>
    </w:lvl>
    <w:lvl w:ilvl="3">
      <w:start w:val="1"/>
      <w:numFmt w:val="decimal"/>
      <w:isLgl/>
      <w:lvlText w:val="%1.%2.%3.%4"/>
      <w:lvlJc w:val="left"/>
      <w:pPr>
        <w:ind w:left="1344" w:hanging="720"/>
      </w:pPr>
      <w:rPr>
        <w:rFonts w:cs="Arial" w:hint="default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cs="Arial" w:hint="default"/>
      </w:rPr>
    </w:lvl>
    <w:lvl w:ilvl="5">
      <w:start w:val="1"/>
      <w:numFmt w:val="decimal"/>
      <w:isLgl/>
      <w:lvlText w:val="%1.%2.%3.%4.%5.%6"/>
      <w:lvlJc w:val="left"/>
      <w:pPr>
        <w:ind w:left="1704" w:hanging="1080"/>
      </w:pPr>
      <w:rPr>
        <w:rFonts w:cs="Arial" w:hint="default"/>
      </w:rPr>
    </w:lvl>
    <w:lvl w:ilvl="6">
      <w:start w:val="1"/>
      <w:numFmt w:val="decimal"/>
      <w:isLgl/>
      <w:lvlText w:val="%1.%2.%3.%4.%5.%6.%7"/>
      <w:lvlJc w:val="left"/>
      <w:pPr>
        <w:ind w:left="2064" w:hanging="1440"/>
      </w:pPr>
      <w:rPr>
        <w:rFonts w:cs="Arial" w:hint="default"/>
      </w:rPr>
    </w:lvl>
    <w:lvl w:ilvl="7">
      <w:start w:val="1"/>
      <w:numFmt w:val="decimal"/>
      <w:isLgl/>
      <w:lvlText w:val="%1.%2.%3.%4.%5.%6.%7.%8"/>
      <w:lvlJc w:val="left"/>
      <w:pPr>
        <w:ind w:left="2064" w:hanging="1440"/>
      </w:pPr>
      <w:rPr>
        <w:rFonts w:cs="Arial" w:hint="default"/>
      </w:rPr>
    </w:lvl>
    <w:lvl w:ilvl="8">
      <w:start w:val="1"/>
      <w:numFmt w:val="decimal"/>
      <w:isLgl/>
      <w:lvlText w:val="%1.%2.%3.%4.%5.%6.%7.%8.%9"/>
      <w:lvlJc w:val="left"/>
      <w:pPr>
        <w:ind w:left="2424" w:hanging="1800"/>
      </w:pPr>
      <w:rPr>
        <w:rFonts w:cs="Arial" w:hint="default"/>
      </w:rPr>
    </w:lvl>
  </w:abstractNum>
  <w:abstractNum w:abstractNumId="20">
    <w:nsid w:val="688223E9"/>
    <w:multiLevelType w:val="hybridMultilevel"/>
    <w:tmpl w:val="8216F5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4"/>
  </w:num>
  <w:num w:numId="4">
    <w:abstractNumId w:val="13"/>
  </w:num>
  <w:num w:numId="5">
    <w:abstractNumId w:val="19"/>
  </w:num>
  <w:num w:numId="6">
    <w:abstractNumId w:val="0"/>
  </w:num>
  <w:num w:numId="7">
    <w:abstractNumId w:val="3"/>
  </w:num>
  <w:num w:numId="8">
    <w:abstractNumId w:val="9"/>
  </w:num>
  <w:num w:numId="9">
    <w:abstractNumId w:val="15"/>
  </w:num>
  <w:num w:numId="10">
    <w:abstractNumId w:val="6"/>
  </w:num>
  <w:num w:numId="11">
    <w:abstractNumId w:val="8"/>
  </w:num>
  <w:num w:numId="12">
    <w:abstractNumId w:val="17"/>
  </w:num>
  <w:num w:numId="13">
    <w:abstractNumId w:val="10"/>
  </w:num>
  <w:num w:numId="14">
    <w:abstractNumId w:val="2"/>
  </w:num>
  <w:num w:numId="15">
    <w:abstractNumId w:val="18"/>
  </w:num>
  <w:num w:numId="16">
    <w:abstractNumId w:val="16"/>
  </w:num>
  <w:num w:numId="17">
    <w:abstractNumId w:val="12"/>
  </w:num>
  <w:num w:numId="18">
    <w:abstractNumId w:val="7"/>
  </w:num>
  <w:num w:numId="19">
    <w:abstractNumId w:val="20"/>
  </w:num>
  <w:num w:numId="20">
    <w:abstractNumId w:val="11"/>
  </w:num>
  <w:num w:numId="21">
    <w:abstractNumId w:val="1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FF6"/>
    <w:rsid w:val="00580FF6"/>
    <w:rsid w:val="00EF7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0FF6"/>
    <w:pPr>
      <w:keepNext/>
      <w:spacing w:before="240" w:after="12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580FF6"/>
    <w:pPr>
      <w:keepNext/>
      <w:spacing w:before="240" w:after="120" w:line="240" w:lineRule="auto"/>
      <w:jc w:val="both"/>
      <w:outlineLvl w:val="1"/>
    </w:pPr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80FF6"/>
    <w:pPr>
      <w:keepNext/>
      <w:spacing w:before="240" w:after="60" w:line="240" w:lineRule="auto"/>
      <w:ind w:firstLine="624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580FF6"/>
    <w:pPr>
      <w:keepNext/>
      <w:spacing w:before="240" w:after="60" w:line="240" w:lineRule="auto"/>
      <w:ind w:firstLine="624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580FF6"/>
    <w:pPr>
      <w:spacing w:before="240" w:after="60" w:line="240" w:lineRule="auto"/>
      <w:ind w:firstLine="624"/>
      <w:jc w:val="both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80FF6"/>
    <w:pPr>
      <w:spacing w:before="240" w:after="60" w:line="240" w:lineRule="auto"/>
      <w:ind w:firstLine="624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580FF6"/>
    <w:pPr>
      <w:keepNext/>
      <w:spacing w:after="0" w:line="240" w:lineRule="auto"/>
      <w:jc w:val="center"/>
      <w:outlineLvl w:val="6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80FF6"/>
    <w:pPr>
      <w:keepNext/>
      <w:spacing w:after="0" w:line="240" w:lineRule="auto"/>
      <w:ind w:firstLine="624"/>
      <w:jc w:val="center"/>
      <w:outlineLvl w:val="7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80FF6"/>
    <w:pPr>
      <w:keepNext/>
      <w:spacing w:after="0" w:line="240" w:lineRule="auto"/>
      <w:ind w:firstLine="600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FF6"/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80FF6"/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80FF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80FF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80FF6"/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80FF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80FF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80FF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80FF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semiHidden/>
    <w:rsid w:val="00580FF6"/>
  </w:style>
  <w:style w:type="paragraph" w:customStyle="1" w:styleId="ConsPlusNormal">
    <w:name w:val="ConsPlusNormal"/>
    <w:rsid w:val="00580F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annotation reference"/>
    <w:semiHidden/>
    <w:rsid w:val="00580FF6"/>
    <w:rPr>
      <w:sz w:val="16"/>
      <w:szCs w:val="16"/>
    </w:rPr>
  </w:style>
  <w:style w:type="paragraph" w:styleId="a4">
    <w:name w:val="annotation text"/>
    <w:basedOn w:val="a"/>
    <w:link w:val="a5"/>
    <w:semiHidden/>
    <w:rsid w:val="00580FF6"/>
    <w:pPr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semiHidden/>
    <w:rsid w:val="00580FF6"/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Document Map"/>
    <w:basedOn w:val="a"/>
    <w:link w:val="a7"/>
    <w:semiHidden/>
    <w:rsid w:val="00580FF6"/>
    <w:pPr>
      <w:shd w:val="clear" w:color="auto" w:fill="000080"/>
      <w:spacing w:after="0" w:line="240" w:lineRule="auto"/>
      <w:ind w:firstLine="624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580FF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8">
    <w:name w:val="главная страница"/>
    <w:basedOn w:val="a"/>
    <w:rsid w:val="00580FF6"/>
    <w:pPr>
      <w:spacing w:after="0" w:line="240" w:lineRule="auto"/>
      <w:ind w:firstLine="624"/>
      <w:jc w:val="center"/>
    </w:pPr>
    <w:rPr>
      <w:rFonts w:ascii="Arial" w:eastAsia="Times New Roman" w:hAnsi="Arial" w:cs="Times New Roman"/>
      <w:b/>
      <w:sz w:val="20"/>
      <w:szCs w:val="24"/>
      <w:lang w:eastAsia="ru-RU"/>
    </w:rPr>
  </w:style>
  <w:style w:type="paragraph" w:styleId="a9">
    <w:name w:val="Body Text"/>
    <w:basedOn w:val="a"/>
    <w:link w:val="aa"/>
    <w:rsid w:val="00580F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580FF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annotation subject"/>
    <w:basedOn w:val="a4"/>
    <w:next w:val="a4"/>
    <w:link w:val="ac"/>
    <w:semiHidden/>
    <w:rsid w:val="00580FF6"/>
    <w:rPr>
      <w:b/>
      <w:bCs/>
    </w:rPr>
  </w:style>
  <w:style w:type="character" w:customStyle="1" w:styleId="ac">
    <w:name w:val="Тема примечания Знак"/>
    <w:basedOn w:val="a5"/>
    <w:link w:val="ab"/>
    <w:semiHidden/>
    <w:rsid w:val="00580FF6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ad">
    <w:name w:val="цитата"/>
    <w:basedOn w:val="a"/>
    <w:rsid w:val="00580FF6"/>
    <w:pPr>
      <w:spacing w:after="0" w:line="240" w:lineRule="auto"/>
      <w:ind w:firstLine="540"/>
      <w:jc w:val="both"/>
    </w:pPr>
    <w:rPr>
      <w:rFonts w:ascii="Arial" w:eastAsia="Times New Roman" w:hAnsi="Arial" w:cs="Times New Roman"/>
      <w:i/>
      <w:iCs/>
      <w:sz w:val="16"/>
      <w:szCs w:val="24"/>
      <w:lang w:eastAsia="ru-RU"/>
    </w:rPr>
  </w:style>
  <w:style w:type="paragraph" w:styleId="ae">
    <w:name w:val="Balloon Text"/>
    <w:basedOn w:val="a"/>
    <w:link w:val="af"/>
    <w:semiHidden/>
    <w:rsid w:val="00580FF6"/>
    <w:pPr>
      <w:spacing w:after="0" w:line="240" w:lineRule="auto"/>
      <w:ind w:firstLine="624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580FF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0">
    <w:name w:val="табл"/>
    <w:basedOn w:val="a"/>
    <w:link w:val="af1"/>
    <w:rsid w:val="00580FF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1">
    <w:name w:val="табл Знак"/>
    <w:link w:val="af0"/>
    <w:rsid w:val="00580FF6"/>
    <w:rPr>
      <w:rFonts w:ascii="Arial" w:eastAsia="Times New Roman" w:hAnsi="Arial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rsid w:val="00580FF6"/>
    <w:pPr>
      <w:spacing w:after="0" w:line="240" w:lineRule="auto"/>
      <w:ind w:firstLine="624"/>
      <w:jc w:val="both"/>
    </w:pPr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580FF6"/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paragraph" w:styleId="21">
    <w:name w:val="Body Text 2"/>
    <w:basedOn w:val="a"/>
    <w:link w:val="22"/>
    <w:rsid w:val="00580FF6"/>
    <w:pPr>
      <w:spacing w:after="0" w:line="240" w:lineRule="auto"/>
      <w:jc w:val="both"/>
    </w:pPr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80FF6"/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paragraph" w:styleId="23">
    <w:name w:val="Body Text Indent 2"/>
    <w:basedOn w:val="a"/>
    <w:link w:val="24"/>
    <w:rsid w:val="00580FF6"/>
    <w:pPr>
      <w:spacing w:after="0" w:line="240" w:lineRule="auto"/>
      <w:ind w:firstLine="624"/>
      <w:jc w:val="both"/>
    </w:pPr>
    <w:rPr>
      <w:rFonts w:ascii="Arial" w:eastAsia="Times New Roman" w:hAnsi="Arial" w:cs="Times New Roman"/>
      <w:color w:val="FF6600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80FF6"/>
    <w:rPr>
      <w:rFonts w:ascii="Arial" w:eastAsia="Times New Roman" w:hAnsi="Arial" w:cs="Times New Roman"/>
      <w:color w:val="FF6600"/>
      <w:szCs w:val="24"/>
      <w:lang w:eastAsia="ru-RU"/>
    </w:rPr>
  </w:style>
  <w:style w:type="paragraph" w:styleId="af4">
    <w:name w:val="Normal (Web)"/>
    <w:basedOn w:val="a"/>
    <w:uiPriority w:val="99"/>
    <w:rsid w:val="00580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580FF6"/>
    <w:pPr>
      <w:spacing w:after="0" w:line="240" w:lineRule="auto"/>
      <w:jc w:val="both"/>
    </w:pPr>
    <w:rPr>
      <w:rFonts w:ascii="Arial" w:eastAsia="Times New Roman" w:hAnsi="Arial" w:cs="Times New Roman"/>
      <w:color w:val="FF6600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580FF6"/>
    <w:rPr>
      <w:rFonts w:ascii="Arial" w:eastAsia="Times New Roman" w:hAnsi="Arial" w:cs="Times New Roman"/>
      <w:color w:val="FF6600"/>
      <w:szCs w:val="24"/>
      <w:lang w:eastAsia="ru-RU"/>
    </w:rPr>
  </w:style>
  <w:style w:type="paragraph" w:customStyle="1" w:styleId="12">
    <w:name w:val="Обычный с отступом 1 см"/>
    <w:basedOn w:val="a"/>
    <w:rsid w:val="00580FF6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 Знак Знак Знак Знак"/>
    <w:basedOn w:val="a"/>
    <w:rsid w:val="00580FF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33">
    <w:name w:val="Body Text Indent 3"/>
    <w:basedOn w:val="a"/>
    <w:link w:val="34"/>
    <w:rsid w:val="00580FF6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580F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580FF6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580FF6"/>
    <w:rPr>
      <w:rFonts w:ascii="Arial" w:eastAsia="Times New Roman" w:hAnsi="Arial" w:cs="Times New Roman"/>
      <w:sz w:val="20"/>
      <w:szCs w:val="24"/>
      <w:lang w:eastAsia="ru-RU"/>
    </w:rPr>
  </w:style>
  <w:style w:type="character" w:styleId="af8">
    <w:name w:val="page number"/>
    <w:basedOn w:val="a0"/>
    <w:rsid w:val="00580FF6"/>
  </w:style>
  <w:style w:type="paragraph" w:styleId="af9">
    <w:name w:val="header"/>
    <w:basedOn w:val="a"/>
    <w:link w:val="afa"/>
    <w:rsid w:val="00580FF6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a">
    <w:name w:val="Верхний колонтитул Знак"/>
    <w:basedOn w:val="a0"/>
    <w:link w:val="af9"/>
    <w:rsid w:val="00580FF6"/>
    <w:rPr>
      <w:rFonts w:ascii="Arial" w:eastAsia="Times New Roman" w:hAnsi="Arial" w:cs="Times New Roman"/>
      <w:sz w:val="20"/>
      <w:szCs w:val="24"/>
      <w:lang w:eastAsia="ru-RU"/>
    </w:rPr>
  </w:style>
  <w:style w:type="table" w:styleId="afb">
    <w:name w:val="Table Grid"/>
    <w:basedOn w:val="a1"/>
    <w:rsid w:val="00580FF6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бланк"/>
    <w:basedOn w:val="a"/>
    <w:rsid w:val="00580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таб"/>
    <w:basedOn w:val="af0"/>
    <w:rsid w:val="00580FF6"/>
    <w:rPr>
      <w:rFonts w:ascii="Times New Roman" w:hAnsi="Times New Roman"/>
      <w:bCs/>
      <w:sz w:val="24"/>
      <w:szCs w:val="24"/>
    </w:rPr>
  </w:style>
  <w:style w:type="paragraph" w:customStyle="1" w:styleId="consplusnonformat">
    <w:name w:val="consplusnonformat"/>
    <w:basedOn w:val="a"/>
    <w:rsid w:val="00580FF6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Стиль Заголовок 2 + 12 пт"/>
    <w:basedOn w:val="2"/>
    <w:rsid w:val="00580FF6"/>
    <w:rPr>
      <w:rFonts w:ascii="Times New Roman" w:hAnsi="Times New Roman"/>
      <w:iCs w:val="0"/>
      <w:sz w:val="28"/>
    </w:rPr>
  </w:style>
  <w:style w:type="paragraph" w:customStyle="1" w:styleId="afe">
    <w:name w:val="табназ"/>
    <w:basedOn w:val="a"/>
    <w:rsid w:val="00580FF6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0">
    <w:name w:val="таб10"/>
    <w:basedOn w:val="afd"/>
    <w:rsid w:val="00580FF6"/>
    <w:rPr>
      <w:sz w:val="20"/>
      <w:szCs w:val="20"/>
    </w:rPr>
  </w:style>
  <w:style w:type="paragraph" w:styleId="aff">
    <w:name w:val="Block Text"/>
    <w:basedOn w:val="a"/>
    <w:rsid w:val="00580FF6"/>
    <w:pPr>
      <w:spacing w:after="0" w:line="240" w:lineRule="auto"/>
      <w:ind w:firstLine="540"/>
      <w:jc w:val="both"/>
    </w:pPr>
    <w:rPr>
      <w:rFonts w:ascii="Arial" w:eastAsia="Times New Roman" w:hAnsi="Arial" w:cs="Times New Roman"/>
      <w:i/>
      <w:iCs/>
      <w:sz w:val="16"/>
      <w:szCs w:val="24"/>
      <w:lang w:eastAsia="ru-RU"/>
    </w:rPr>
  </w:style>
  <w:style w:type="paragraph" w:customStyle="1" w:styleId="TimesNewRoman12">
    <w:name w:val="Стиль табл + Times New Roman 12 пт полужирный"/>
    <w:basedOn w:val="af0"/>
    <w:rsid w:val="00580FF6"/>
    <w:rPr>
      <w:rFonts w:ascii="Times New Roman" w:hAnsi="Times New Roman"/>
      <w:b/>
      <w:bCs/>
      <w:sz w:val="24"/>
    </w:rPr>
  </w:style>
  <w:style w:type="paragraph" w:customStyle="1" w:styleId="120">
    <w:name w:val="обыч12"/>
    <w:basedOn w:val="af4"/>
    <w:rsid w:val="00580FF6"/>
    <w:pPr>
      <w:spacing w:before="0" w:beforeAutospacing="0" w:after="0" w:afterAutospacing="0"/>
    </w:pPr>
    <w:rPr>
      <w:szCs w:val="20"/>
    </w:rPr>
  </w:style>
  <w:style w:type="character" w:styleId="aff0">
    <w:name w:val="Hyperlink"/>
    <w:rsid w:val="00580FF6"/>
    <w:rPr>
      <w:color w:val="0000FF"/>
      <w:u w:val="single"/>
    </w:rPr>
  </w:style>
  <w:style w:type="paragraph" w:styleId="aff1">
    <w:name w:val="List Paragraph"/>
    <w:basedOn w:val="a"/>
    <w:uiPriority w:val="34"/>
    <w:qFormat/>
    <w:rsid w:val="00580F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uiPriority w:val="99"/>
    <w:rsid w:val="00580FF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pple-converted-space">
    <w:name w:val="apple-converted-space"/>
    <w:rsid w:val="00580F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80FF6"/>
    <w:pPr>
      <w:keepNext/>
      <w:spacing w:before="240" w:after="120" w:line="240" w:lineRule="auto"/>
      <w:jc w:val="both"/>
      <w:outlineLvl w:val="0"/>
    </w:pPr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580FF6"/>
    <w:pPr>
      <w:keepNext/>
      <w:spacing w:before="240" w:after="120" w:line="240" w:lineRule="auto"/>
      <w:jc w:val="both"/>
      <w:outlineLvl w:val="1"/>
    </w:pPr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80FF6"/>
    <w:pPr>
      <w:keepNext/>
      <w:spacing w:before="240" w:after="60" w:line="240" w:lineRule="auto"/>
      <w:ind w:firstLine="624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580FF6"/>
    <w:pPr>
      <w:keepNext/>
      <w:spacing w:before="240" w:after="60" w:line="240" w:lineRule="auto"/>
      <w:ind w:firstLine="624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580FF6"/>
    <w:pPr>
      <w:spacing w:before="240" w:after="60" w:line="240" w:lineRule="auto"/>
      <w:ind w:firstLine="624"/>
      <w:jc w:val="both"/>
      <w:outlineLvl w:val="4"/>
    </w:pPr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80FF6"/>
    <w:pPr>
      <w:spacing w:before="240" w:after="60" w:line="240" w:lineRule="auto"/>
      <w:ind w:firstLine="624"/>
      <w:jc w:val="both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580FF6"/>
    <w:pPr>
      <w:keepNext/>
      <w:spacing w:after="0" w:line="240" w:lineRule="auto"/>
      <w:jc w:val="center"/>
      <w:outlineLvl w:val="6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580FF6"/>
    <w:pPr>
      <w:keepNext/>
      <w:spacing w:after="0" w:line="240" w:lineRule="auto"/>
      <w:ind w:firstLine="624"/>
      <w:jc w:val="center"/>
      <w:outlineLvl w:val="7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580FF6"/>
    <w:pPr>
      <w:keepNext/>
      <w:spacing w:after="0" w:line="240" w:lineRule="auto"/>
      <w:ind w:firstLine="600"/>
      <w:jc w:val="center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0FF6"/>
    <w:rPr>
      <w:rFonts w:ascii="Arial" w:eastAsia="Times New Roman" w:hAnsi="Arial" w:cs="Arial"/>
      <w:b/>
      <w:bCs/>
      <w:kern w:val="32"/>
      <w:sz w:val="20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80FF6"/>
    <w:rPr>
      <w:rFonts w:ascii="Arial" w:eastAsia="Times New Roman" w:hAnsi="Arial" w:cs="Arial"/>
      <w:b/>
      <w:bCs/>
      <w:iCs/>
      <w:sz w:val="20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80FF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80FF6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80FF6"/>
    <w:rPr>
      <w:rFonts w:ascii="Arial" w:eastAsia="Times New Roman" w:hAnsi="Arial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80FF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80FF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80FF6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80FF6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1">
    <w:name w:val="Нет списка1"/>
    <w:next w:val="a2"/>
    <w:semiHidden/>
    <w:rsid w:val="00580FF6"/>
  </w:style>
  <w:style w:type="paragraph" w:customStyle="1" w:styleId="ConsPlusNormal">
    <w:name w:val="ConsPlusNormal"/>
    <w:rsid w:val="00580F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3">
    <w:name w:val="annotation reference"/>
    <w:semiHidden/>
    <w:rsid w:val="00580FF6"/>
    <w:rPr>
      <w:sz w:val="16"/>
      <w:szCs w:val="16"/>
    </w:rPr>
  </w:style>
  <w:style w:type="paragraph" w:styleId="a4">
    <w:name w:val="annotation text"/>
    <w:basedOn w:val="a"/>
    <w:link w:val="a5"/>
    <w:semiHidden/>
    <w:rsid w:val="00580FF6"/>
    <w:pPr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5">
    <w:name w:val="Текст примечания Знак"/>
    <w:basedOn w:val="a0"/>
    <w:link w:val="a4"/>
    <w:semiHidden/>
    <w:rsid w:val="00580FF6"/>
    <w:rPr>
      <w:rFonts w:ascii="Arial" w:eastAsia="Times New Roman" w:hAnsi="Arial" w:cs="Times New Roman"/>
      <w:sz w:val="20"/>
      <w:szCs w:val="20"/>
      <w:lang w:eastAsia="ru-RU"/>
    </w:rPr>
  </w:style>
  <w:style w:type="paragraph" w:styleId="a6">
    <w:name w:val="Document Map"/>
    <w:basedOn w:val="a"/>
    <w:link w:val="a7"/>
    <w:semiHidden/>
    <w:rsid w:val="00580FF6"/>
    <w:pPr>
      <w:shd w:val="clear" w:color="auto" w:fill="000080"/>
      <w:spacing w:after="0" w:line="240" w:lineRule="auto"/>
      <w:ind w:firstLine="624"/>
      <w:jc w:val="both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580FF6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8">
    <w:name w:val="главная страница"/>
    <w:basedOn w:val="a"/>
    <w:rsid w:val="00580FF6"/>
    <w:pPr>
      <w:spacing w:after="0" w:line="240" w:lineRule="auto"/>
      <w:ind w:firstLine="624"/>
      <w:jc w:val="center"/>
    </w:pPr>
    <w:rPr>
      <w:rFonts w:ascii="Arial" w:eastAsia="Times New Roman" w:hAnsi="Arial" w:cs="Times New Roman"/>
      <w:b/>
      <w:sz w:val="20"/>
      <w:szCs w:val="24"/>
      <w:lang w:eastAsia="ru-RU"/>
    </w:rPr>
  </w:style>
  <w:style w:type="paragraph" w:styleId="a9">
    <w:name w:val="Body Text"/>
    <w:basedOn w:val="a"/>
    <w:link w:val="aa"/>
    <w:rsid w:val="00580F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580FF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annotation subject"/>
    <w:basedOn w:val="a4"/>
    <w:next w:val="a4"/>
    <w:link w:val="ac"/>
    <w:semiHidden/>
    <w:rsid w:val="00580FF6"/>
    <w:rPr>
      <w:b/>
      <w:bCs/>
    </w:rPr>
  </w:style>
  <w:style w:type="character" w:customStyle="1" w:styleId="ac">
    <w:name w:val="Тема примечания Знак"/>
    <w:basedOn w:val="a5"/>
    <w:link w:val="ab"/>
    <w:semiHidden/>
    <w:rsid w:val="00580FF6"/>
    <w:rPr>
      <w:rFonts w:ascii="Arial" w:eastAsia="Times New Roman" w:hAnsi="Arial" w:cs="Times New Roman"/>
      <w:b/>
      <w:bCs/>
      <w:sz w:val="20"/>
      <w:szCs w:val="20"/>
      <w:lang w:eastAsia="ru-RU"/>
    </w:rPr>
  </w:style>
  <w:style w:type="paragraph" w:customStyle="1" w:styleId="ad">
    <w:name w:val="цитата"/>
    <w:basedOn w:val="a"/>
    <w:rsid w:val="00580FF6"/>
    <w:pPr>
      <w:spacing w:after="0" w:line="240" w:lineRule="auto"/>
      <w:ind w:firstLine="540"/>
      <w:jc w:val="both"/>
    </w:pPr>
    <w:rPr>
      <w:rFonts w:ascii="Arial" w:eastAsia="Times New Roman" w:hAnsi="Arial" w:cs="Times New Roman"/>
      <w:i/>
      <w:iCs/>
      <w:sz w:val="16"/>
      <w:szCs w:val="24"/>
      <w:lang w:eastAsia="ru-RU"/>
    </w:rPr>
  </w:style>
  <w:style w:type="paragraph" w:styleId="ae">
    <w:name w:val="Balloon Text"/>
    <w:basedOn w:val="a"/>
    <w:link w:val="af"/>
    <w:semiHidden/>
    <w:rsid w:val="00580FF6"/>
    <w:pPr>
      <w:spacing w:after="0" w:line="240" w:lineRule="auto"/>
      <w:ind w:firstLine="624"/>
      <w:jc w:val="both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semiHidden/>
    <w:rsid w:val="00580FF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0">
    <w:name w:val="табл"/>
    <w:basedOn w:val="a"/>
    <w:link w:val="af1"/>
    <w:rsid w:val="00580FF6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1">
    <w:name w:val="табл Знак"/>
    <w:link w:val="af0"/>
    <w:rsid w:val="00580FF6"/>
    <w:rPr>
      <w:rFonts w:ascii="Arial" w:eastAsia="Times New Roman" w:hAnsi="Arial" w:cs="Times New Roman"/>
      <w:sz w:val="20"/>
      <w:szCs w:val="20"/>
      <w:lang w:eastAsia="ru-RU"/>
    </w:rPr>
  </w:style>
  <w:style w:type="paragraph" w:styleId="af2">
    <w:name w:val="Body Text Indent"/>
    <w:basedOn w:val="a"/>
    <w:link w:val="af3"/>
    <w:rsid w:val="00580FF6"/>
    <w:pPr>
      <w:spacing w:after="0" w:line="240" w:lineRule="auto"/>
      <w:ind w:firstLine="624"/>
      <w:jc w:val="both"/>
    </w:pPr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rsid w:val="00580FF6"/>
    <w:rPr>
      <w:rFonts w:ascii="Arial" w:eastAsia="Times New Roman" w:hAnsi="Arial" w:cs="Times New Roman"/>
      <w:color w:val="FF6600"/>
      <w:sz w:val="20"/>
      <w:szCs w:val="24"/>
      <w:lang w:eastAsia="ru-RU"/>
    </w:rPr>
  </w:style>
  <w:style w:type="paragraph" w:styleId="21">
    <w:name w:val="Body Text 2"/>
    <w:basedOn w:val="a"/>
    <w:link w:val="22"/>
    <w:rsid w:val="00580FF6"/>
    <w:pPr>
      <w:spacing w:after="0" w:line="240" w:lineRule="auto"/>
      <w:jc w:val="both"/>
    </w:pPr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80FF6"/>
    <w:rPr>
      <w:rFonts w:ascii="Arial" w:eastAsia="Times New Roman" w:hAnsi="Arial" w:cs="Times New Roman"/>
      <w:b/>
      <w:bCs/>
      <w:color w:val="0000FF"/>
      <w:sz w:val="20"/>
      <w:szCs w:val="24"/>
      <w:lang w:eastAsia="ru-RU"/>
    </w:rPr>
  </w:style>
  <w:style w:type="paragraph" w:styleId="23">
    <w:name w:val="Body Text Indent 2"/>
    <w:basedOn w:val="a"/>
    <w:link w:val="24"/>
    <w:rsid w:val="00580FF6"/>
    <w:pPr>
      <w:spacing w:after="0" w:line="240" w:lineRule="auto"/>
      <w:ind w:firstLine="624"/>
      <w:jc w:val="both"/>
    </w:pPr>
    <w:rPr>
      <w:rFonts w:ascii="Arial" w:eastAsia="Times New Roman" w:hAnsi="Arial" w:cs="Times New Roman"/>
      <w:color w:val="FF6600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80FF6"/>
    <w:rPr>
      <w:rFonts w:ascii="Arial" w:eastAsia="Times New Roman" w:hAnsi="Arial" w:cs="Times New Roman"/>
      <w:color w:val="FF6600"/>
      <w:szCs w:val="24"/>
      <w:lang w:eastAsia="ru-RU"/>
    </w:rPr>
  </w:style>
  <w:style w:type="paragraph" w:styleId="af4">
    <w:name w:val="Normal (Web)"/>
    <w:basedOn w:val="a"/>
    <w:uiPriority w:val="99"/>
    <w:rsid w:val="00580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580FF6"/>
    <w:pPr>
      <w:spacing w:after="0" w:line="240" w:lineRule="auto"/>
      <w:jc w:val="both"/>
    </w:pPr>
    <w:rPr>
      <w:rFonts w:ascii="Arial" w:eastAsia="Times New Roman" w:hAnsi="Arial" w:cs="Times New Roman"/>
      <w:color w:val="FF6600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580FF6"/>
    <w:rPr>
      <w:rFonts w:ascii="Arial" w:eastAsia="Times New Roman" w:hAnsi="Arial" w:cs="Times New Roman"/>
      <w:color w:val="FF6600"/>
      <w:szCs w:val="24"/>
      <w:lang w:eastAsia="ru-RU"/>
    </w:rPr>
  </w:style>
  <w:style w:type="paragraph" w:customStyle="1" w:styleId="12">
    <w:name w:val="Обычный с отступом 1 см"/>
    <w:basedOn w:val="a"/>
    <w:rsid w:val="00580FF6"/>
    <w:pPr>
      <w:widowControl w:val="0"/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5">
    <w:name w:val=" Знак Знак Знак Знак"/>
    <w:basedOn w:val="a"/>
    <w:rsid w:val="00580FF6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33">
    <w:name w:val="Body Text Indent 3"/>
    <w:basedOn w:val="a"/>
    <w:link w:val="34"/>
    <w:rsid w:val="00580FF6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580FF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rsid w:val="00580FF6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580FF6"/>
    <w:rPr>
      <w:rFonts w:ascii="Arial" w:eastAsia="Times New Roman" w:hAnsi="Arial" w:cs="Times New Roman"/>
      <w:sz w:val="20"/>
      <w:szCs w:val="24"/>
      <w:lang w:eastAsia="ru-RU"/>
    </w:rPr>
  </w:style>
  <w:style w:type="character" w:styleId="af8">
    <w:name w:val="page number"/>
    <w:basedOn w:val="a0"/>
    <w:rsid w:val="00580FF6"/>
  </w:style>
  <w:style w:type="paragraph" w:styleId="af9">
    <w:name w:val="header"/>
    <w:basedOn w:val="a"/>
    <w:link w:val="afa"/>
    <w:rsid w:val="00580FF6"/>
    <w:pPr>
      <w:tabs>
        <w:tab w:val="center" w:pos="4677"/>
        <w:tab w:val="right" w:pos="9355"/>
      </w:tabs>
      <w:spacing w:after="0" w:line="240" w:lineRule="auto"/>
      <w:ind w:firstLine="624"/>
      <w:jc w:val="both"/>
    </w:pPr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afa">
    <w:name w:val="Верхний колонтитул Знак"/>
    <w:basedOn w:val="a0"/>
    <w:link w:val="af9"/>
    <w:rsid w:val="00580FF6"/>
    <w:rPr>
      <w:rFonts w:ascii="Arial" w:eastAsia="Times New Roman" w:hAnsi="Arial" w:cs="Times New Roman"/>
      <w:sz w:val="20"/>
      <w:szCs w:val="24"/>
      <w:lang w:eastAsia="ru-RU"/>
    </w:rPr>
  </w:style>
  <w:style w:type="table" w:styleId="afb">
    <w:name w:val="Table Grid"/>
    <w:basedOn w:val="a1"/>
    <w:rsid w:val="00580FF6"/>
    <w:pPr>
      <w:spacing w:after="0" w:line="240" w:lineRule="auto"/>
      <w:ind w:firstLine="624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c">
    <w:name w:val="бланк"/>
    <w:basedOn w:val="a"/>
    <w:rsid w:val="00580F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таб"/>
    <w:basedOn w:val="af0"/>
    <w:rsid w:val="00580FF6"/>
    <w:rPr>
      <w:rFonts w:ascii="Times New Roman" w:hAnsi="Times New Roman"/>
      <w:bCs/>
      <w:sz w:val="24"/>
      <w:szCs w:val="24"/>
    </w:rPr>
  </w:style>
  <w:style w:type="paragraph" w:customStyle="1" w:styleId="consplusnonformat">
    <w:name w:val="consplusnonformat"/>
    <w:basedOn w:val="a"/>
    <w:rsid w:val="00580FF6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Стиль Заголовок 2 + 12 пт"/>
    <w:basedOn w:val="2"/>
    <w:rsid w:val="00580FF6"/>
    <w:rPr>
      <w:rFonts w:ascii="Times New Roman" w:hAnsi="Times New Roman"/>
      <w:iCs w:val="0"/>
      <w:sz w:val="28"/>
    </w:rPr>
  </w:style>
  <w:style w:type="paragraph" w:customStyle="1" w:styleId="afe">
    <w:name w:val="табназ"/>
    <w:basedOn w:val="a"/>
    <w:rsid w:val="00580FF6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00">
    <w:name w:val="таб10"/>
    <w:basedOn w:val="afd"/>
    <w:rsid w:val="00580FF6"/>
    <w:rPr>
      <w:sz w:val="20"/>
      <w:szCs w:val="20"/>
    </w:rPr>
  </w:style>
  <w:style w:type="paragraph" w:styleId="aff">
    <w:name w:val="Block Text"/>
    <w:basedOn w:val="a"/>
    <w:rsid w:val="00580FF6"/>
    <w:pPr>
      <w:spacing w:after="0" w:line="240" w:lineRule="auto"/>
      <w:ind w:firstLine="540"/>
      <w:jc w:val="both"/>
    </w:pPr>
    <w:rPr>
      <w:rFonts w:ascii="Arial" w:eastAsia="Times New Roman" w:hAnsi="Arial" w:cs="Times New Roman"/>
      <w:i/>
      <w:iCs/>
      <w:sz w:val="16"/>
      <w:szCs w:val="24"/>
      <w:lang w:eastAsia="ru-RU"/>
    </w:rPr>
  </w:style>
  <w:style w:type="paragraph" w:customStyle="1" w:styleId="TimesNewRoman12">
    <w:name w:val="Стиль табл + Times New Roman 12 пт полужирный"/>
    <w:basedOn w:val="af0"/>
    <w:rsid w:val="00580FF6"/>
    <w:rPr>
      <w:rFonts w:ascii="Times New Roman" w:hAnsi="Times New Roman"/>
      <w:b/>
      <w:bCs/>
      <w:sz w:val="24"/>
    </w:rPr>
  </w:style>
  <w:style w:type="paragraph" w:customStyle="1" w:styleId="120">
    <w:name w:val="обыч12"/>
    <w:basedOn w:val="af4"/>
    <w:rsid w:val="00580FF6"/>
    <w:pPr>
      <w:spacing w:before="0" w:beforeAutospacing="0" w:after="0" w:afterAutospacing="0"/>
    </w:pPr>
    <w:rPr>
      <w:szCs w:val="20"/>
    </w:rPr>
  </w:style>
  <w:style w:type="character" w:styleId="aff0">
    <w:name w:val="Hyperlink"/>
    <w:rsid w:val="00580FF6"/>
    <w:rPr>
      <w:color w:val="0000FF"/>
      <w:u w:val="single"/>
    </w:rPr>
  </w:style>
  <w:style w:type="paragraph" w:styleId="aff1">
    <w:name w:val="List Paragraph"/>
    <w:basedOn w:val="a"/>
    <w:uiPriority w:val="34"/>
    <w:qFormat/>
    <w:rsid w:val="00580F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uiPriority w:val="99"/>
    <w:rsid w:val="00580FF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character" w:customStyle="1" w:styleId="apple-converted-space">
    <w:name w:val="apple-converted-space"/>
    <w:rsid w:val="00580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6325</Words>
  <Characters>36055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ОМО4</dc:creator>
  <cp:lastModifiedBy>ОМО4</cp:lastModifiedBy>
  <cp:revision>1</cp:revision>
  <dcterms:created xsi:type="dcterms:W3CDTF">2016-11-18T08:55:00Z</dcterms:created>
  <dcterms:modified xsi:type="dcterms:W3CDTF">2016-11-18T08:56:00Z</dcterms:modified>
</cp:coreProperties>
</file>